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drawings/drawing2.xml" ContentType="application/vnd.openxmlformats-officedocument.drawingml.chartshapes+xml"/>
  <Override PartName="/word/charts/chart3.xml" ContentType="application/vnd.openxmlformats-officedocument.drawingml.chart+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1F69" w:rsidRPr="001F3304" w:rsidRDefault="009D0BE7">
      <w:pPr>
        <w:rPr>
          <w:rFonts w:ascii="Times New Roman" w:hAnsi="Times New Roman" w:cs="Times New Roman"/>
          <w:sz w:val="48"/>
          <w:szCs w:val="48"/>
        </w:rPr>
      </w:pPr>
      <w:r w:rsidRPr="001F3304">
        <w:rPr>
          <w:rFonts w:ascii="Times New Roman" w:hAnsi="Times New Roman" w:cs="Times New Roman"/>
          <w:sz w:val="48"/>
          <w:szCs w:val="48"/>
        </w:rPr>
        <w:t xml:space="preserve">Managing </w:t>
      </w:r>
      <w:r w:rsidRPr="001F3304">
        <w:rPr>
          <w:rFonts w:ascii="Times New Roman" w:hAnsi="Times New Roman" w:cs="Times New Roman"/>
          <w:i/>
          <w:sz w:val="48"/>
          <w:szCs w:val="48"/>
        </w:rPr>
        <w:t xml:space="preserve">Lawsonia </w:t>
      </w:r>
      <w:r w:rsidRPr="001F3304">
        <w:rPr>
          <w:rFonts w:ascii="Times New Roman" w:hAnsi="Times New Roman" w:cs="Times New Roman"/>
          <w:sz w:val="48"/>
          <w:szCs w:val="48"/>
        </w:rPr>
        <w:t xml:space="preserve">and </w:t>
      </w:r>
      <w:r w:rsidRPr="001F3304">
        <w:rPr>
          <w:rFonts w:ascii="Times New Roman" w:hAnsi="Times New Roman" w:cs="Times New Roman"/>
          <w:i/>
          <w:sz w:val="48"/>
          <w:szCs w:val="48"/>
        </w:rPr>
        <w:t>Brachyspira</w:t>
      </w:r>
      <w:r w:rsidRPr="001F3304">
        <w:rPr>
          <w:rFonts w:ascii="Times New Roman" w:hAnsi="Times New Roman" w:cs="Times New Roman"/>
          <w:sz w:val="48"/>
          <w:szCs w:val="48"/>
        </w:rPr>
        <w:t xml:space="preserve"> infections</w:t>
      </w:r>
      <w:r w:rsidR="004D31F0" w:rsidRPr="001F3304">
        <w:rPr>
          <w:rFonts w:ascii="Times New Roman" w:hAnsi="Times New Roman" w:cs="Times New Roman"/>
          <w:sz w:val="48"/>
          <w:szCs w:val="48"/>
        </w:rPr>
        <w:t xml:space="preserve"> </w:t>
      </w:r>
      <w:r w:rsidRPr="001F3304">
        <w:rPr>
          <w:rFonts w:ascii="Times New Roman" w:hAnsi="Times New Roman" w:cs="Times New Roman"/>
          <w:sz w:val="48"/>
          <w:szCs w:val="48"/>
        </w:rPr>
        <w:t>using pharmacokinetic and pharmacodynamic principles</w:t>
      </w:r>
    </w:p>
    <w:p w:rsidR="009D0BE7" w:rsidRPr="001F3304" w:rsidRDefault="009D0BE7">
      <w:pPr>
        <w:rPr>
          <w:rFonts w:ascii="Times New Roman" w:hAnsi="Times New Roman" w:cs="Times New Roman"/>
        </w:rPr>
      </w:pPr>
    </w:p>
    <w:p w:rsidR="009D0BE7" w:rsidRPr="001F3304" w:rsidRDefault="009D0BE7" w:rsidP="009D0BE7">
      <w:pPr>
        <w:jc w:val="center"/>
        <w:rPr>
          <w:rFonts w:ascii="Times New Roman" w:hAnsi="Times New Roman" w:cs="Times New Roman"/>
          <w:sz w:val="24"/>
        </w:rPr>
      </w:pPr>
      <w:r w:rsidRPr="001F3304">
        <w:rPr>
          <w:rFonts w:ascii="Times New Roman" w:hAnsi="Times New Roman" w:cs="Times New Roman"/>
          <w:sz w:val="24"/>
        </w:rPr>
        <w:t>David G. S. Burch</w:t>
      </w:r>
      <w:r w:rsidR="001F3304">
        <w:rPr>
          <w:rFonts w:ascii="Times New Roman" w:hAnsi="Times New Roman" w:cs="Times New Roman"/>
          <w:sz w:val="24"/>
        </w:rPr>
        <w:t>, B Vet Med, FRCVS</w:t>
      </w:r>
      <w:r w:rsidRPr="001F3304">
        <w:rPr>
          <w:rFonts w:ascii="Times New Roman" w:hAnsi="Times New Roman" w:cs="Times New Roman"/>
          <w:sz w:val="24"/>
          <w:vertAlign w:val="superscript"/>
        </w:rPr>
        <w:t>1</w:t>
      </w:r>
      <w:r w:rsidRPr="001F3304">
        <w:rPr>
          <w:rFonts w:ascii="Times New Roman" w:hAnsi="Times New Roman" w:cs="Times New Roman"/>
          <w:sz w:val="24"/>
        </w:rPr>
        <w:t>; J. Mark Hammer</w:t>
      </w:r>
      <w:r w:rsidR="001F3304">
        <w:rPr>
          <w:rFonts w:ascii="Times New Roman" w:hAnsi="Times New Roman" w:cs="Times New Roman"/>
          <w:sz w:val="24"/>
        </w:rPr>
        <w:t>, DVM</w:t>
      </w:r>
      <w:r w:rsidRPr="001F3304">
        <w:rPr>
          <w:rFonts w:ascii="Times New Roman" w:hAnsi="Times New Roman" w:cs="Times New Roman"/>
          <w:sz w:val="24"/>
          <w:vertAlign w:val="superscript"/>
        </w:rPr>
        <w:t>2</w:t>
      </w:r>
    </w:p>
    <w:p w:rsidR="00035F41" w:rsidRDefault="009D0BE7" w:rsidP="009D0BE7">
      <w:pPr>
        <w:jc w:val="center"/>
        <w:rPr>
          <w:rFonts w:ascii="Times New Roman" w:hAnsi="Times New Roman" w:cs="Times New Roman"/>
          <w:sz w:val="24"/>
        </w:rPr>
      </w:pPr>
      <w:r w:rsidRPr="001F3304">
        <w:rPr>
          <w:rFonts w:ascii="Times New Roman" w:hAnsi="Times New Roman" w:cs="Times New Roman"/>
          <w:sz w:val="24"/>
          <w:vertAlign w:val="superscript"/>
        </w:rPr>
        <w:t>1</w:t>
      </w:r>
      <w:r w:rsidRPr="001F3304">
        <w:rPr>
          <w:rFonts w:ascii="Times New Roman" w:hAnsi="Times New Roman" w:cs="Times New Roman"/>
          <w:sz w:val="24"/>
        </w:rPr>
        <w:t xml:space="preserve">Octagon Services Ltd, Old Windsor, Berkshire, UK; </w:t>
      </w:r>
    </w:p>
    <w:p w:rsidR="009D0BE7" w:rsidRPr="001F3304" w:rsidRDefault="009D0BE7" w:rsidP="009D0BE7">
      <w:pPr>
        <w:jc w:val="center"/>
        <w:rPr>
          <w:rFonts w:ascii="Times New Roman" w:hAnsi="Times New Roman" w:cs="Times New Roman"/>
          <w:sz w:val="24"/>
        </w:rPr>
      </w:pPr>
      <w:r w:rsidRPr="001F3304">
        <w:rPr>
          <w:rFonts w:ascii="Times New Roman" w:hAnsi="Times New Roman" w:cs="Times New Roman"/>
          <w:sz w:val="24"/>
          <w:vertAlign w:val="superscript"/>
        </w:rPr>
        <w:t>2</w:t>
      </w:r>
      <w:r w:rsidRPr="001F3304">
        <w:rPr>
          <w:rFonts w:ascii="Times New Roman" w:hAnsi="Times New Roman" w:cs="Times New Roman"/>
          <w:sz w:val="24"/>
        </w:rPr>
        <w:t>Novartis Animal Health Inc</w:t>
      </w:r>
      <w:r w:rsidR="00ED1D8B" w:rsidRPr="001F3304">
        <w:rPr>
          <w:rFonts w:ascii="Times New Roman" w:hAnsi="Times New Roman" w:cs="Times New Roman"/>
          <w:sz w:val="24"/>
        </w:rPr>
        <w:t>.</w:t>
      </w:r>
      <w:r w:rsidRPr="001F3304">
        <w:rPr>
          <w:rFonts w:ascii="Times New Roman" w:hAnsi="Times New Roman" w:cs="Times New Roman"/>
          <w:sz w:val="24"/>
        </w:rPr>
        <w:t>, Greensboro, N. Carolina</w:t>
      </w:r>
      <w:r w:rsidR="00035F41">
        <w:rPr>
          <w:rFonts w:ascii="Times New Roman" w:hAnsi="Times New Roman" w:cs="Times New Roman"/>
          <w:sz w:val="24"/>
        </w:rPr>
        <w:t>, USA.</w:t>
      </w:r>
    </w:p>
    <w:p w:rsidR="009D0BE7" w:rsidRPr="009D0BE7" w:rsidRDefault="009D0BE7" w:rsidP="009D0BE7">
      <w:pPr>
        <w:jc w:val="center"/>
        <w:rPr>
          <w:rFonts w:ascii="Times New Roman" w:hAnsi="Times New Roman" w:cs="Times New Roman"/>
        </w:rPr>
      </w:pPr>
    </w:p>
    <w:p w:rsidR="009D0BE7" w:rsidRPr="001F3304" w:rsidRDefault="009D0BE7" w:rsidP="009D0BE7">
      <w:pPr>
        <w:rPr>
          <w:rFonts w:ascii="Times New Roman" w:hAnsi="Times New Roman" w:cs="Times New Roman"/>
          <w:sz w:val="32"/>
          <w:szCs w:val="32"/>
        </w:rPr>
      </w:pPr>
      <w:r w:rsidRPr="001F3304">
        <w:rPr>
          <w:rFonts w:ascii="Times New Roman" w:hAnsi="Times New Roman" w:cs="Times New Roman"/>
          <w:sz w:val="32"/>
          <w:szCs w:val="32"/>
        </w:rPr>
        <w:t>Introduction</w:t>
      </w:r>
    </w:p>
    <w:p w:rsidR="009D0BE7" w:rsidRPr="001F3304" w:rsidRDefault="00B63B28" w:rsidP="009D0BE7">
      <w:pPr>
        <w:rPr>
          <w:rFonts w:ascii="Times New Roman" w:hAnsi="Times New Roman" w:cs="Times New Roman"/>
          <w:sz w:val="20"/>
        </w:rPr>
      </w:pPr>
      <w:r w:rsidRPr="001F3304">
        <w:rPr>
          <w:rFonts w:ascii="Times New Roman" w:hAnsi="Times New Roman" w:cs="Times New Roman"/>
          <w:sz w:val="20"/>
        </w:rPr>
        <w:t xml:space="preserve">To make informed decisions on which antibiotic to use and which route and at what inclusion/dosage level, it is important for practitioners to be familiar with the basic pharmacokinetic (PK) information for a drug and be able to relate it to the pharmacodynamic (PD) information that is available. Frequently, the minimum inhibitory concentration (MIC) is determined for </w:t>
      </w:r>
      <w:r w:rsidRPr="001F3304">
        <w:rPr>
          <w:rFonts w:ascii="Times New Roman" w:hAnsi="Times New Roman" w:cs="Times New Roman"/>
          <w:i/>
          <w:sz w:val="20"/>
        </w:rPr>
        <w:t>Brachyspira</w:t>
      </w:r>
      <w:r w:rsidR="004D31F0" w:rsidRPr="001F3304">
        <w:rPr>
          <w:rFonts w:ascii="Times New Roman" w:hAnsi="Times New Roman" w:cs="Times New Roman"/>
          <w:sz w:val="20"/>
        </w:rPr>
        <w:t xml:space="preserve"> </w:t>
      </w:r>
      <w:r w:rsidR="004D31F0" w:rsidRPr="001F3304">
        <w:rPr>
          <w:rFonts w:ascii="Times New Roman" w:hAnsi="Times New Roman" w:cs="Times New Roman"/>
          <w:i/>
          <w:sz w:val="20"/>
        </w:rPr>
        <w:t>hyodysenteriae</w:t>
      </w:r>
      <w:r w:rsidR="004D31F0" w:rsidRPr="001F3304">
        <w:rPr>
          <w:rFonts w:ascii="Times New Roman" w:hAnsi="Times New Roman" w:cs="Times New Roman"/>
          <w:sz w:val="20"/>
        </w:rPr>
        <w:t>, the cause of swine dysentery,</w:t>
      </w:r>
      <w:r w:rsidRPr="001F3304">
        <w:rPr>
          <w:rFonts w:ascii="Times New Roman" w:hAnsi="Times New Roman" w:cs="Times New Roman"/>
          <w:sz w:val="20"/>
        </w:rPr>
        <w:t xml:space="preserve"> as part of the diagnostic work up</w:t>
      </w:r>
      <w:r w:rsidR="001E2F8D" w:rsidRPr="001F3304">
        <w:rPr>
          <w:rFonts w:ascii="Times New Roman" w:hAnsi="Times New Roman" w:cs="Times New Roman"/>
          <w:sz w:val="20"/>
        </w:rPr>
        <w:t>,</w:t>
      </w:r>
      <w:r w:rsidRPr="001F3304">
        <w:rPr>
          <w:rFonts w:ascii="Times New Roman" w:hAnsi="Times New Roman" w:cs="Times New Roman"/>
          <w:sz w:val="20"/>
        </w:rPr>
        <w:t xml:space="preserve"> </w:t>
      </w:r>
      <w:r w:rsidR="004D31F0" w:rsidRPr="001F3304">
        <w:rPr>
          <w:rFonts w:ascii="Times New Roman" w:hAnsi="Times New Roman" w:cs="Times New Roman"/>
          <w:sz w:val="20"/>
        </w:rPr>
        <w:t xml:space="preserve">as </w:t>
      </w:r>
      <w:r w:rsidRPr="001F3304">
        <w:rPr>
          <w:rFonts w:ascii="Times New Roman" w:hAnsi="Times New Roman" w:cs="Times New Roman"/>
          <w:sz w:val="20"/>
        </w:rPr>
        <w:t xml:space="preserve">the usual PD information and this can be </w:t>
      </w:r>
      <w:r w:rsidR="004D31F0" w:rsidRPr="001F3304">
        <w:rPr>
          <w:rFonts w:ascii="Times New Roman" w:hAnsi="Times New Roman" w:cs="Times New Roman"/>
          <w:sz w:val="20"/>
        </w:rPr>
        <w:t xml:space="preserve">correlated with the PK or concentrations of antibiotic found in the colon contents. Similarly, for </w:t>
      </w:r>
      <w:r w:rsidR="004D31F0" w:rsidRPr="001F3304">
        <w:rPr>
          <w:rFonts w:ascii="Times New Roman" w:hAnsi="Times New Roman" w:cs="Times New Roman"/>
          <w:i/>
          <w:sz w:val="20"/>
        </w:rPr>
        <w:t>Lawsonia intracellularis</w:t>
      </w:r>
      <w:r w:rsidR="004D31F0" w:rsidRPr="001F3304">
        <w:rPr>
          <w:rFonts w:ascii="Times New Roman" w:hAnsi="Times New Roman" w:cs="Times New Roman"/>
          <w:sz w:val="20"/>
        </w:rPr>
        <w:t xml:space="preserve"> infections, the cause of porcine proliferative enteropathy (‘ileitis’), the ileum contents concentration is the major PK information but it is very difficult to grow </w:t>
      </w:r>
      <w:r w:rsidR="004D31F0" w:rsidRPr="001F3304">
        <w:rPr>
          <w:rFonts w:ascii="Times New Roman" w:hAnsi="Times New Roman" w:cs="Times New Roman"/>
          <w:i/>
          <w:sz w:val="20"/>
        </w:rPr>
        <w:t>L. intracellularis</w:t>
      </w:r>
      <w:r w:rsidR="004D31F0" w:rsidRPr="001F3304">
        <w:rPr>
          <w:rFonts w:ascii="Times New Roman" w:hAnsi="Times New Roman" w:cs="Times New Roman"/>
          <w:sz w:val="20"/>
        </w:rPr>
        <w:t xml:space="preserve"> in cell cultures, so there is generally very limited intracellular MIC </w:t>
      </w:r>
      <w:r w:rsidR="00ED1D8B" w:rsidRPr="001F3304">
        <w:rPr>
          <w:rFonts w:ascii="Times New Roman" w:hAnsi="Times New Roman" w:cs="Times New Roman"/>
          <w:sz w:val="20"/>
        </w:rPr>
        <w:t xml:space="preserve">(iMIC) </w:t>
      </w:r>
      <w:r w:rsidR="004D31F0" w:rsidRPr="001F3304">
        <w:rPr>
          <w:rFonts w:ascii="Times New Roman" w:hAnsi="Times New Roman" w:cs="Times New Roman"/>
          <w:sz w:val="20"/>
        </w:rPr>
        <w:t>data available from field investigations.</w:t>
      </w:r>
    </w:p>
    <w:p w:rsidR="00ED1D8B" w:rsidRPr="001F3304" w:rsidRDefault="00ED1D8B" w:rsidP="009D0BE7">
      <w:pPr>
        <w:rPr>
          <w:rFonts w:ascii="Times New Roman" w:hAnsi="Times New Roman" w:cs="Times New Roman"/>
          <w:sz w:val="20"/>
        </w:rPr>
      </w:pPr>
    </w:p>
    <w:p w:rsidR="00ED1D8B" w:rsidRPr="001F3304" w:rsidRDefault="00ED1D8B" w:rsidP="009D0BE7">
      <w:pPr>
        <w:rPr>
          <w:rFonts w:ascii="Times New Roman" w:hAnsi="Times New Roman" w:cs="Times New Roman"/>
          <w:sz w:val="20"/>
        </w:rPr>
      </w:pPr>
      <w:r w:rsidRPr="001F3304">
        <w:rPr>
          <w:rFonts w:ascii="Times New Roman" w:hAnsi="Times New Roman" w:cs="Times New Roman"/>
          <w:sz w:val="20"/>
        </w:rPr>
        <w:t>The purpose of this paper is to correlate the PK and PD information for tiamulin (Denagard – Novartis Animal Health Inc.) against these two infections, so that the practitioner can utilise his field information to make more informed treatment decisions regarding these primary enteric pathogens.</w:t>
      </w:r>
    </w:p>
    <w:p w:rsidR="00ED1D8B" w:rsidRPr="001F3304" w:rsidRDefault="00ED1D8B" w:rsidP="009D0BE7">
      <w:pPr>
        <w:rPr>
          <w:rFonts w:ascii="Times New Roman" w:hAnsi="Times New Roman" w:cs="Times New Roman"/>
          <w:sz w:val="20"/>
        </w:rPr>
      </w:pPr>
    </w:p>
    <w:p w:rsidR="00ED1D8B" w:rsidRPr="00B60366" w:rsidRDefault="00ED1D8B" w:rsidP="009D0BE7">
      <w:pPr>
        <w:rPr>
          <w:rFonts w:ascii="Times New Roman" w:hAnsi="Times New Roman" w:cs="Times New Roman"/>
          <w:sz w:val="32"/>
          <w:szCs w:val="32"/>
        </w:rPr>
      </w:pPr>
      <w:r w:rsidRPr="00B60366">
        <w:rPr>
          <w:rFonts w:ascii="Times New Roman" w:hAnsi="Times New Roman" w:cs="Times New Roman"/>
          <w:sz w:val="32"/>
          <w:szCs w:val="32"/>
        </w:rPr>
        <w:t xml:space="preserve">Pharmacokinetics of </w:t>
      </w:r>
      <w:r w:rsidR="00C442FE" w:rsidRPr="00B60366">
        <w:rPr>
          <w:rFonts w:ascii="Times New Roman" w:hAnsi="Times New Roman" w:cs="Times New Roman"/>
          <w:sz w:val="32"/>
          <w:szCs w:val="32"/>
        </w:rPr>
        <w:t>tiamulin</w:t>
      </w:r>
      <w:r w:rsidRPr="00B60366">
        <w:rPr>
          <w:rFonts w:ascii="Times New Roman" w:hAnsi="Times New Roman" w:cs="Times New Roman"/>
          <w:sz w:val="32"/>
          <w:szCs w:val="32"/>
        </w:rPr>
        <w:t xml:space="preserve"> in the gut</w:t>
      </w:r>
    </w:p>
    <w:p w:rsidR="00C442FE" w:rsidRDefault="00B60366" w:rsidP="009D0BE7">
      <w:pPr>
        <w:rPr>
          <w:rFonts w:ascii="Times New Roman" w:hAnsi="Times New Roman" w:cs="Times New Roman"/>
          <w:sz w:val="20"/>
        </w:rPr>
      </w:pPr>
      <w:r w:rsidRPr="00B60366">
        <w:rPr>
          <w:rFonts w:ascii="Times New Roman" w:hAnsi="Times New Roman" w:cs="Times New Roman"/>
          <w:sz w:val="20"/>
        </w:rPr>
        <w:t>T</w:t>
      </w:r>
      <w:r w:rsidR="00C442FE" w:rsidRPr="00B60366">
        <w:rPr>
          <w:rFonts w:ascii="Times New Roman" w:hAnsi="Times New Roman" w:cs="Times New Roman"/>
          <w:sz w:val="20"/>
        </w:rPr>
        <w:t>he concentrations that were achieved in the colon contents</w:t>
      </w:r>
      <w:r w:rsidRPr="00B60366">
        <w:rPr>
          <w:rFonts w:ascii="Times New Roman" w:hAnsi="Times New Roman" w:cs="Times New Roman"/>
          <w:sz w:val="20"/>
          <w:vertAlign w:val="superscript"/>
        </w:rPr>
        <w:t>1</w:t>
      </w:r>
      <w:r w:rsidR="005B692B" w:rsidRPr="00B60366">
        <w:rPr>
          <w:rFonts w:ascii="Times New Roman" w:hAnsi="Times New Roman" w:cs="Times New Roman"/>
          <w:sz w:val="20"/>
        </w:rPr>
        <w:t>, using a microbiological method,</w:t>
      </w:r>
      <w:r w:rsidR="00C442FE" w:rsidRPr="00B60366">
        <w:rPr>
          <w:rFonts w:ascii="Times New Roman" w:hAnsi="Times New Roman" w:cs="Times New Roman"/>
          <w:sz w:val="20"/>
        </w:rPr>
        <w:t xml:space="preserve"> following administration of tiamulin in the feed at 38.5, 110 and 220ppm for 14 days</w:t>
      </w:r>
      <w:r w:rsidR="00C92DD5">
        <w:rPr>
          <w:rFonts w:ascii="Times New Roman" w:hAnsi="Times New Roman" w:cs="Times New Roman"/>
          <w:sz w:val="20"/>
        </w:rPr>
        <w:t xml:space="preserve"> </w:t>
      </w:r>
      <w:r w:rsidRPr="00B60366">
        <w:rPr>
          <w:rFonts w:ascii="Times New Roman" w:hAnsi="Times New Roman" w:cs="Times New Roman"/>
          <w:sz w:val="20"/>
        </w:rPr>
        <w:t>are summarised in Table 1</w:t>
      </w:r>
      <w:r w:rsidR="00C92DD5">
        <w:rPr>
          <w:rFonts w:ascii="Times New Roman" w:hAnsi="Times New Roman" w:cs="Times New Roman"/>
          <w:sz w:val="20"/>
        </w:rPr>
        <w:t>. It</w:t>
      </w:r>
      <w:r w:rsidR="00C442FE" w:rsidRPr="00B60366">
        <w:rPr>
          <w:rFonts w:ascii="Times New Roman" w:hAnsi="Times New Roman" w:cs="Times New Roman"/>
          <w:sz w:val="20"/>
        </w:rPr>
        <w:t xml:space="preserve"> also looked at tiamulin</w:t>
      </w:r>
      <w:r w:rsidR="003B4EB2" w:rsidRPr="00B60366">
        <w:rPr>
          <w:rFonts w:ascii="Times New Roman" w:hAnsi="Times New Roman" w:cs="Times New Roman"/>
          <w:sz w:val="20"/>
        </w:rPr>
        <w:t>’s</w:t>
      </w:r>
      <w:r w:rsidR="00C442FE" w:rsidRPr="00B60366">
        <w:rPr>
          <w:rFonts w:ascii="Times New Roman" w:hAnsi="Times New Roman" w:cs="Times New Roman"/>
          <w:sz w:val="20"/>
        </w:rPr>
        <w:t xml:space="preserve"> colon contents concentration (CCC) after giving</w:t>
      </w:r>
      <w:r w:rsidR="00C92DD5">
        <w:rPr>
          <w:rFonts w:ascii="Times New Roman" w:hAnsi="Times New Roman" w:cs="Times New Roman"/>
          <w:sz w:val="20"/>
        </w:rPr>
        <w:t xml:space="preserve"> it</w:t>
      </w:r>
      <w:r w:rsidR="00C442FE" w:rsidRPr="00B60366">
        <w:rPr>
          <w:rFonts w:ascii="Times New Roman" w:hAnsi="Times New Roman" w:cs="Times New Roman"/>
          <w:sz w:val="20"/>
        </w:rPr>
        <w:t xml:space="preserve"> in the drinking water at 60, 120 and 180ppm for 5 days (see Table 1).</w:t>
      </w:r>
      <w:r>
        <w:rPr>
          <w:rFonts w:ascii="Times New Roman" w:hAnsi="Times New Roman" w:cs="Times New Roman"/>
          <w:sz w:val="20"/>
        </w:rPr>
        <w:t xml:space="preserve"> D</w:t>
      </w:r>
      <w:r w:rsidR="003B4EB2" w:rsidRPr="00B60366">
        <w:rPr>
          <w:rFonts w:ascii="Times New Roman" w:hAnsi="Times New Roman" w:cs="Times New Roman"/>
          <w:sz w:val="20"/>
        </w:rPr>
        <w:t xml:space="preserve">rugs accumulate in the colon contents and that the ileum contents concentration (ICC) was </w:t>
      </w:r>
      <w:r>
        <w:rPr>
          <w:rFonts w:ascii="Times New Roman" w:hAnsi="Times New Roman" w:cs="Times New Roman"/>
          <w:sz w:val="20"/>
        </w:rPr>
        <w:t xml:space="preserve">shown to be </w:t>
      </w:r>
      <w:r w:rsidR="003B4EB2" w:rsidRPr="00B60366">
        <w:rPr>
          <w:rFonts w:ascii="Times New Roman" w:hAnsi="Times New Roman" w:cs="Times New Roman"/>
          <w:sz w:val="20"/>
        </w:rPr>
        <w:t>approximately 29% of the CCC</w:t>
      </w:r>
      <w:r>
        <w:rPr>
          <w:rFonts w:ascii="Times New Roman" w:hAnsi="Times New Roman" w:cs="Times New Roman"/>
          <w:sz w:val="20"/>
          <w:vertAlign w:val="superscript"/>
        </w:rPr>
        <w:t>3</w:t>
      </w:r>
      <w:r w:rsidR="008C1872" w:rsidRPr="00B60366">
        <w:rPr>
          <w:rFonts w:ascii="Times New Roman" w:hAnsi="Times New Roman" w:cs="Times New Roman"/>
          <w:sz w:val="20"/>
        </w:rPr>
        <w:t>.</w:t>
      </w:r>
    </w:p>
    <w:p w:rsidR="00035F41" w:rsidRDefault="00035F41" w:rsidP="009D0BE7">
      <w:pPr>
        <w:rPr>
          <w:rFonts w:ascii="Times New Roman" w:hAnsi="Times New Roman" w:cs="Times New Roman"/>
          <w:sz w:val="20"/>
        </w:rPr>
      </w:pPr>
    </w:p>
    <w:p w:rsidR="00035F41" w:rsidRPr="000643C8" w:rsidRDefault="00035F41" w:rsidP="00035F41">
      <w:pPr>
        <w:rPr>
          <w:rFonts w:ascii="Times New Roman" w:hAnsi="Times New Roman" w:cs="Times New Roman"/>
          <w:sz w:val="20"/>
        </w:rPr>
      </w:pPr>
      <w:r>
        <w:rPr>
          <w:rFonts w:ascii="Times New Roman" w:hAnsi="Times New Roman" w:cs="Times New Roman"/>
          <w:sz w:val="20"/>
        </w:rPr>
        <w:t>Table 1:</w:t>
      </w:r>
      <w:r w:rsidRPr="000643C8">
        <w:rPr>
          <w:rFonts w:ascii="Times New Roman" w:hAnsi="Times New Roman" w:cs="Times New Roman"/>
          <w:sz w:val="20"/>
        </w:rPr>
        <w:t xml:space="preserve"> Tiamulin colon and ileum (estimated) contents concentration following administration via feed and drinking water</w:t>
      </w:r>
    </w:p>
    <w:tbl>
      <w:tblPr>
        <w:tblStyle w:val="TableGrid"/>
        <w:tblW w:w="5000" w:type="pct"/>
        <w:tblLook w:val="04A0" w:firstRow="1" w:lastRow="0" w:firstColumn="1" w:lastColumn="0" w:noHBand="0" w:noVBand="1"/>
      </w:tblPr>
      <w:tblGrid>
        <w:gridCol w:w="2310"/>
        <w:gridCol w:w="2310"/>
        <w:gridCol w:w="2311"/>
        <w:gridCol w:w="2311"/>
      </w:tblGrid>
      <w:tr w:rsidR="00035F41" w:rsidRPr="000643C8" w:rsidTr="00353E86">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Tiamulin concentration (ppm)</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 xml:space="preserve">Dosage rate </w:t>
            </w:r>
          </w:p>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(mg/kg bwt)</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Colon contents concentration (</w:t>
            </w:r>
            <w:r w:rsidRPr="000643C8">
              <w:rPr>
                <w:rFonts w:ascii="Calibri" w:hAnsi="Calibri" w:cs="Calibri"/>
                <w:sz w:val="20"/>
              </w:rPr>
              <w:t>µ</w:t>
            </w:r>
            <w:r w:rsidRPr="000643C8">
              <w:rPr>
                <w:rFonts w:ascii="Times New Roman" w:hAnsi="Times New Roman" w:cs="Times New Roman"/>
                <w:sz w:val="20"/>
              </w:rPr>
              <w:t>g/ml)</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Ileum contents concentration (</w:t>
            </w:r>
            <w:r w:rsidRPr="000643C8">
              <w:rPr>
                <w:rFonts w:ascii="Calibri" w:hAnsi="Calibri" w:cs="Calibri"/>
                <w:sz w:val="20"/>
              </w:rPr>
              <w:t>µ</w:t>
            </w:r>
            <w:r w:rsidRPr="000643C8">
              <w:rPr>
                <w:rFonts w:ascii="Times New Roman" w:hAnsi="Times New Roman" w:cs="Times New Roman"/>
                <w:sz w:val="20"/>
              </w:rPr>
              <w:t>g/ml)</w:t>
            </w:r>
          </w:p>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 xml:space="preserve">(Estimated ICC = </w:t>
            </w:r>
          </w:p>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CCC x 29%)</w:t>
            </w:r>
          </w:p>
        </w:tc>
      </w:tr>
      <w:tr w:rsidR="00035F41" w:rsidRPr="000643C8" w:rsidTr="00353E86">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In feed (14 days)</w:t>
            </w:r>
          </w:p>
        </w:tc>
        <w:tc>
          <w:tcPr>
            <w:tcW w:w="1250" w:type="pct"/>
          </w:tcPr>
          <w:p w:rsidR="00035F41" w:rsidRPr="000643C8" w:rsidRDefault="00035F41" w:rsidP="00353E86">
            <w:pPr>
              <w:rPr>
                <w:rFonts w:ascii="Times New Roman" w:hAnsi="Times New Roman" w:cs="Times New Roman"/>
                <w:sz w:val="20"/>
              </w:rPr>
            </w:pPr>
          </w:p>
        </w:tc>
        <w:tc>
          <w:tcPr>
            <w:tcW w:w="1250" w:type="pct"/>
          </w:tcPr>
          <w:p w:rsidR="00035F41" w:rsidRPr="000643C8" w:rsidRDefault="00035F41" w:rsidP="00353E86">
            <w:pPr>
              <w:rPr>
                <w:rFonts w:ascii="Times New Roman" w:hAnsi="Times New Roman" w:cs="Times New Roman"/>
                <w:sz w:val="20"/>
              </w:rPr>
            </w:pPr>
          </w:p>
        </w:tc>
        <w:tc>
          <w:tcPr>
            <w:tcW w:w="1250" w:type="pct"/>
          </w:tcPr>
          <w:p w:rsidR="00035F41" w:rsidRPr="000643C8" w:rsidRDefault="00035F41" w:rsidP="00353E86">
            <w:pPr>
              <w:rPr>
                <w:rFonts w:ascii="Times New Roman" w:hAnsi="Times New Roman" w:cs="Times New Roman"/>
                <w:sz w:val="20"/>
              </w:rPr>
            </w:pPr>
          </w:p>
        </w:tc>
      </w:tr>
      <w:tr w:rsidR="00035F41" w:rsidRPr="000643C8" w:rsidTr="00353E86">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38.5</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1.98</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&lt;1.98 (LOQ) 0.99 (E)</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0.29</w:t>
            </w:r>
          </w:p>
        </w:tc>
      </w:tr>
      <w:tr w:rsidR="00035F41" w:rsidRPr="000643C8" w:rsidTr="00353E86">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110</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6.6</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2.84</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0.82</w:t>
            </w:r>
          </w:p>
        </w:tc>
      </w:tr>
      <w:tr w:rsidR="00035F41" w:rsidRPr="000643C8" w:rsidTr="00353E86">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220</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13.2</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8.05</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2.33</w:t>
            </w:r>
          </w:p>
        </w:tc>
      </w:tr>
      <w:tr w:rsidR="00035F41" w:rsidRPr="000643C8" w:rsidTr="00353E86">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In water (5 days)</w:t>
            </w:r>
          </w:p>
        </w:tc>
        <w:tc>
          <w:tcPr>
            <w:tcW w:w="1250" w:type="pct"/>
          </w:tcPr>
          <w:p w:rsidR="00035F41" w:rsidRPr="000643C8" w:rsidRDefault="00035F41" w:rsidP="00353E86">
            <w:pPr>
              <w:rPr>
                <w:rFonts w:ascii="Times New Roman" w:hAnsi="Times New Roman" w:cs="Times New Roman"/>
                <w:sz w:val="20"/>
              </w:rPr>
            </w:pPr>
          </w:p>
        </w:tc>
        <w:tc>
          <w:tcPr>
            <w:tcW w:w="1250" w:type="pct"/>
          </w:tcPr>
          <w:p w:rsidR="00035F41" w:rsidRPr="000643C8" w:rsidRDefault="00035F41" w:rsidP="00353E86">
            <w:pPr>
              <w:rPr>
                <w:rFonts w:ascii="Times New Roman" w:hAnsi="Times New Roman" w:cs="Times New Roman"/>
                <w:sz w:val="20"/>
              </w:rPr>
            </w:pPr>
          </w:p>
        </w:tc>
        <w:tc>
          <w:tcPr>
            <w:tcW w:w="1250" w:type="pct"/>
          </w:tcPr>
          <w:p w:rsidR="00035F41" w:rsidRPr="000643C8" w:rsidRDefault="00035F41" w:rsidP="00353E86">
            <w:pPr>
              <w:rPr>
                <w:rFonts w:ascii="Times New Roman" w:hAnsi="Times New Roman" w:cs="Times New Roman"/>
                <w:sz w:val="20"/>
              </w:rPr>
            </w:pPr>
          </w:p>
        </w:tc>
      </w:tr>
      <w:tr w:rsidR="00035F41" w:rsidRPr="000643C8" w:rsidTr="00353E86">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60</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6.16</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2.16</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0.63</w:t>
            </w:r>
          </w:p>
        </w:tc>
      </w:tr>
      <w:tr w:rsidR="00035F41" w:rsidRPr="000643C8" w:rsidTr="00353E86">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120</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13.2</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5.59</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1.62</w:t>
            </w:r>
          </w:p>
        </w:tc>
      </w:tr>
      <w:tr w:rsidR="00035F41" w:rsidRPr="000643C8" w:rsidTr="00353E86">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180</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20.9</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18.58</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5.39</w:t>
            </w:r>
          </w:p>
        </w:tc>
      </w:tr>
    </w:tbl>
    <w:p w:rsidR="00C442FE" w:rsidRPr="00B60366" w:rsidRDefault="00C442FE" w:rsidP="009D0BE7">
      <w:pPr>
        <w:rPr>
          <w:rFonts w:ascii="Times New Roman" w:hAnsi="Times New Roman" w:cs="Times New Roman"/>
          <w:sz w:val="20"/>
        </w:rPr>
      </w:pPr>
    </w:p>
    <w:p w:rsidR="005B692B" w:rsidRPr="00B60366" w:rsidRDefault="005B692B" w:rsidP="009D0BE7">
      <w:pPr>
        <w:rPr>
          <w:rFonts w:ascii="Times New Roman" w:hAnsi="Times New Roman" w:cs="Times New Roman"/>
          <w:sz w:val="20"/>
        </w:rPr>
      </w:pPr>
      <w:r w:rsidRPr="00B60366">
        <w:rPr>
          <w:rFonts w:ascii="Times New Roman" w:hAnsi="Times New Roman" w:cs="Times New Roman"/>
          <w:sz w:val="20"/>
        </w:rPr>
        <w:t xml:space="preserve">These concentrations are helpful in giving an idea of the tiamulin-like bioactive concentrations that can be achieved in the certain sections of the gut. There may be some binding of the drug to the gut contents </w:t>
      </w:r>
      <w:r w:rsidR="00741D61" w:rsidRPr="00B60366">
        <w:rPr>
          <w:rFonts w:ascii="Times New Roman" w:hAnsi="Times New Roman" w:cs="Times New Roman"/>
          <w:sz w:val="20"/>
        </w:rPr>
        <w:t>but this has not been taken into account. Ti</w:t>
      </w:r>
      <w:r w:rsidR="008C1872" w:rsidRPr="00B60366">
        <w:rPr>
          <w:rFonts w:ascii="Times New Roman" w:hAnsi="Times New Roman" w:cs="Times New Roman"/>
          <w:sz w:val="20"/>
        </w:rPr>
        <w:t>amulin is only a moderate serum-</w:t>
      </w:r>
      <w:r w:rsidR="00741D61" w:rsidRPr="00B60366">
        <w:rPr>
          <w:rFonts w:ascii="Times New Roman" w:hAnsi="Times New Roman" w:cs="Times New Roman"/>
          <w:sz w:val="20"/>
        </w:rPr>
        <w:t>protein binder in pigs at about 30%.</w:t>
      </w:r>
      <w:r w:rsidR="00C442D5" w:rsidRPr="00B60366">
        <w:rPr>
          <w:rFonts w:ascii="Times New Roman" w:hAnsi="Times New Roman" w:cs="Times New Roman"/>
          <w:sz w:val="20"/>
        </w:rPr>
        <w:t xml:space="preserve"> Dose for dose, in feed medication achieved higher concentrations in the gut than water medication, possibly due to feed impairing the absorption and bioavailability of tiamulin.</w:t>
      </w:r>
    </w:p>
    <w:p w:rsidR="00741D61" w:rsidRPr="00B60366" w:rsidRDefault="00741D61" w:rsidP="009D0BE7">
      <w:pPr>
        <w:rPr>
          <w:rFonts w:ascii="Times New Roman" w:hAnsi="Times New Roman" w:cs="Times New Roman"/>
          <w:sz w:val="20"/>
        </w:rPr>
      </w:pPr>
    </w:p>
    <w:p w:rsidR="00035F41" w:rsidRDefault="00035F41" w:rsidP="009D0BE7">
      <w:pPr>
        <w:rPr>
          <w:rFonts w:ascii="Times New Roman" w:hAnsi="Times New Roman" w:cs="Times New Roman"/>
          <w:sz w:val="32"/>
          <w:szCs w:val="32"/>
        </w:rPr>
      </w:pPr>
    </w:p>
    <w:p w:rsidR="00741D61" w:rsidRDefault="00741D61" w:rsidP="009D0BE7">
      <w:pPr>
        <w:rPr>
          <w:rFonts w:ascii="Times New Roman" w:hAnsi="Times New Roman" w:cs="Times New Roman"/>
          <w:sz w:val="32"/>
          <w:szCs w:val="32"/>
        </w:rPr>
      </w:pPr>
      <w:r w:rsidRPr="00B60366">
        <w:rPr>
          <w:rFonts w:ascii="Times New Roman" w:hAnsi="Times New Roman" w:cs="Times New Roman"/>
          <w:sz w:val="32"/>
          <w:szCs w:val="32"/>
        </w:rPr>
        <w:lastRenderedPageBreak/>
        <w:t>Pharmacodynamics</w:t>
      </w:r>
    </w:p>
    <w:p w:rsidR="00795376" w:rsidRPr="00B60366" w:rsidRDefault="00795376" w:rsidP="009D0BE7">
      <w:pPr>
        <w:rPr>
          <w:rFonts w:ascii="Times New Roman" w:hAnsi="Times New Roman" w:cs="Times New Roman"/>
          <w:i/>
          <w:sz w:val="24"/>
        </w:rPr>
      </w:pPr>
      <w:r w:rsidRPr="00B60366">
        <w:rPr>
          <w:rFonts w:ascii="Times New Roman" w:hAnsi="Times New Roman" w:cs="Times New Roman"/>
          <w:i/>
          <w:sz w:val="24"/>
        </w:rPr>
        <w:t>Lawsonia intracellularis</w:t>
      </w:r>
    </w:p>
    <w:p w:rsidR="00741D61" w:rsidRPr="009C290F" w:rsidRDefault="00B60366" w:rsidP="009D0BE7">
      <w:pPr>
        <w:rPr>
          <w:rFonts w:ascii="Times New Roman" w:hAnsi="Times New Roman" w:cs="Times New Roman"/>
          <w:sz w:val="20"/>
        </w:rPr>
      </w:pPr>
      <w:r w:rsidRPr="009C290F">
        <w:rPr>
          <w:rFonts w:ascii="Times New Roman" w:hAnsi="Times New Roman" w:cs="Times New Roman"/>
          <w:sz w:val="20"/>
        </w:rPr>
        <w:t>Recent</w:t>
      </w:r>
      <w:r w:rsidR="00741D61" w:rsidRPr="009C290F">
        <w:rPr>
          <w:rFonts w:ascii="Times New Roman" w:hAnsi="Times New Roman" w:cs="Times New Roman"/>
          <w:sz w:val="20"/>
        </w:rPr>
        <w:t xml:space="preserve"> pharmacodynamic data for </w:t>
      </w:r>
      <w:r w:rsidR="00741D61" w:rsidRPr="009C290F">
        <w:rPr>
          <w:rFonts w:ascii="Times New Roman" w:hAnsi="Times New Roman" w:cs="Times New Roman"/>
          <w:i/>
          <w:sz w:val="20"/>
        </w:rPr>
        <w:t>L. intracellularis</w:t>
      </w:r>
      <w:r w:rsidRPr="009C290F">
        <w:rPr>
          <w:rFonts w:ascii="Times New Roman" w:hAnsi="Times New Roman" w:cs="Times New Roman"/>
          <w:sz w:val="20"/>
          <w:vertAlign w:val="superscript"/>
        </w:rPr>
        <w:t>12</w:t>
      </w:r>
      <w:r w:rsidRPr="009C290F">
        <w:rPr>
          <w:rFonts w:ascii="Times New Roman" w:hAnsi="Times New Roman" w:cs="Times New Roman"/>
          <w:sz w:val="20"/>
        </w:rPr>
        <w:t xml:space="preserve"> really pushed forward our</w:t>
      </w:r>
      <w:r w:rsidR="00741D61" w:rsidRPr="009C290F">
        <w:rPr>
          <w:rFonts w:ascii="Times New Roman" w:hAnsi="Times New Roman" w:cs="Times New Roman"/>
          <w:sz w:val="20"/>
        </w:rPr>
        <w:t xml:space="preserve"> knowledge and understanding of how drugs worked against this infectious agent. Early pioneering work </w:t>
      </w:r>
      <w:r w:rsidR="009C290F" w:rsidRPr="009C290F">
        <w:rPr>
          <w:rFonts w:ascii="Times New Roman" w:hAnsi="Times New Roman" w:cs="Times New Roman"/>
          <w:sz w:val="20"/>
          <w:vertAlign w:val="superscript"/>
        </w:rPr>
        <w:t>6, 7</w:t>
      </w:r>
      <w:r w:rsidR="00741D61" w:rsidRPr="009C290F">
        <w:rPr>
          <w:rFonts w:ascii="Times New Roman" w:hAnsi="Times New Roman" w:cs="Times New Roman"/>
          <w:sz w:val="20"/>
        </w:rPr>
        <w:t xml:space="preserve"> gave us some indication of what antibiotics were likely to work against </w:t>
      </w:r>
      <w:r w:rsidR="00741D61" w:rsidRPr="009C290F">
        <w:rPr>
          <w:rFonts w:ascii="Times New Roman" w:hAnsi="Times New Roman" w:cs="Times New Roman"/>
          <w:i/>
          <w:sz w:val="20"/>
        </w:rPr>
        <w:t>L. intracellularis</w:t>
      </w:r>
      <w:r w:rsidR="00741D61" w:rsidRPr="009C290F">
        <w:rPr>
          <w:rFonts w:ascii="Times New Roman" w:hAnsi="Times New Roman" w:cs="Times New Roman"/>
          <w:sz w:val="20"/>
        </w:rPr>
        <w:t>, but</w:t>
      </w:r>
      <w:r w:rsidR="008C1872" w:rsidRPr="009C290F">
        <w:rPr>
          <w:rFonts w:ascii="Times New Roman" w:hAnsi="Times New Roman" w:cs="Times New Roman"/>
          <w:sz w:val="20"/>
        </w:rPr>
        <w:t xml:space="preserve"> they</w:t>
      </w:r>
      <w:r w:rsidR="00741D61" w:rsidRPr="009C290F">
        <w:rPr>
          <w:rFonts w:ascii="Times New Roman" w:hAnsi="Times New Roman" w:cs="Times New Roman"/>
          <w:sz w:val="20"/>
        </w:rPr>
        <w:t xml:space="preserve"> used a limited number of isolates and limited drug concentrations. </w:t>
      </w:r>
      <w:r w:rsidR="009C290F" w:rsidRPr="009C290F">
        <w:rPr>
          <w:rFonts w:ascii="Times New Roman" w:hAnsi="Times New Roman" w:cs="Times New Roman"/>
          <w:sz w:val="20"/>
        </w:rPr>
        <w:t>A</w:t>
      </w:r>
      <w:r w:rsidR="00741D61" w:rsidRPr="009C290F">
        <w:rPr>
          <w:rFonts w:ascii="Times New Roman" w:hAnsi="Times New Roman" w:cs="Times New Roman"/>
          <w:sz w:val="20"/>
        </w:rPr>
        <w:t xml:space="preserve"> wide</w:t>
      </w:r>
      <w:r w:rsidR="009C290F" w:rsidRPr="009C290F">
        <w:rPr>
          <w:rFonts w:ascii="Times New Roman" w:hAnsi="Times New Roman" w:cs="Times New Roman"/>
          <w:sz w:val="20"/>
        </w:rPr>
        <w:t>r</w:t>
      </w:r>
      <w:r w:rsidR="00741D61" w:rsidRPr="009C290F">
        <w:rPr>
          <w:rFonts w:ascii="Times New Roman" w:hAnsi="Times New Roman" w:cs="Times New Roman"/>
          <w:sz w:val="20"/>
        </w:rPr>
        <w:t xml:space="preserve"> drug concentration range</w:t>
      </w:r>
      <w:r w:rsidR="009C290F" w:rsidRPr="009C290F">
        <w:rPr>
          <w:rFonts w:ascii="Times New Roman" w:hAnsi="Times New Roman" w:cs="Times New Roman"/>
          <w:sz w:val="20"/>
          <w:vertAlign w:val="superscript"/>
        </w:rPr>
        <w:t>12</w:t>
      </w:r>
      <w:r w:rsidR="00741D61" w:rsidRPr="009C290F">
        <w:rPr>
          <w:rFonts w:ascii="Times New Roman" w:hAnsi="Times New Roman" w:cs="Times New Roman"/>
          <w:sz w:val="20"/>
        </w:rPr>
        <w:t xml:space="preserve"> </w:t>
      </w:r>
      <w:r w:rsidR="009C290F" w:rsidRPr="009C290F">
        <w:rPr>
          <w:rFonts w:ascii="Times New Roman" w:hAnsi="Times New Roman" w:cs="Times New Roman"/>
          <w:sz w:val="20"/>
        </w:rPr>
        <w:t>was used</w:t>
      </w:r>
      <w:r w:rsidR="00741D61" w:rsidRPr="009C290F">
        <w:rPr>
          <w:rFonts w:ascii="Times New Roman" w:hAnsi="Times New Roman" w:cs="Times New Roman"/>
          <w:sz w:val="20"/>
        </w:rPr>
        <w:t xml:space="preserve"> to test 10 US and EU is</w:t>
      </w:r>
      <w:r w:rsidR="00C442D5" w:rsidRPr="009C290F">
        <w:rPr>
          <w:rFonts w:ascii="Times New Roman" w:hAnsi="Times New Roman" w:cs="Times New Roman"/>
          <w:sz w:val="20"/>
        </w:rPr>
        <w:t>olates</w:t>
      </w:r>
      <w:r w:rsidR="009C290F" w:rsidRPr="009C290F">
        <w:rPr>
          <w:rFonts w:ascii="Times New Roman" w:hAnsi="Times New Roman" w:cs="Times New Roman"/>
          <w:sz w:val="20"/>
        </w:rPr>
        <w:t>,</w:t>
      </w:r>
      <w:r w:rsidR="00C442D5" w:rsidRPr="009C290F">
        <w:rPr>
          <w:rFonts w:ascii="Times New Roman" w:hAnsi="Times New Roman" w:cs="Times New Roman"/>
          <w:sz w:val="20"/>
        </w:rPr>
        <w:t xml:space="preserve"> to determine their iMICs and extracellular MICs</w:t>
      </w:r>
      <w:r w:rsidR="008C1872" w:rsidRPr="009C290F">
        <w:rPr>
          <w:rFonts w:ascii="Times New Roman" w:hAnsi="Times New Roman" w:cs="Times New Roman"/>
          <w:sz w:val="20"/>
        </w:rPr>
        <w:t xml:space="preserve"> (eMICs)</w:t>
      </w:r>
      <w:r w:rsidR="009C290F">
        <w:rPr>
          <w:rFonts w:ascii="Times New Roman" w:hAnsi="Times New Roman" w:cs="Times New Roman"/>
          <w:sz w:val="20"/>
        </w:rPr>
        <w:t xml:space="preserve"> and</w:t>
      </w:r>
      <w:r w:rsidR="00795376" w:rsidRPr="009C290F">
        <w:rPr>
          <w:rFonts w:ascii="Times New Roman" w:hAnsi="Times New Roman" w:cs="Times New Roman"/>
          <w:sz w:val="20"/>
        </w:rPr>
        <w:t xml:space="preserve"> the determination</w:t>
      </w:r>
      <w:r w:rsidR="009C290F">
        <w:rPr>
          <w:rFonts w:ascii="Times New Roman" w:hAnsi="Times New Roman" w:cs="Times New Roman"/>
          <w:sz w:val="20"/>
        </w:rPr>
        <w:t xml:space="preserve"> was repeated (see Table 2)</w:t>
      </w:r>
      <w:r w:rsidR="009C290F" w:rsidRPr="009C290F">
        <w:rPr>
          <w:rFonts w:ascii="Times New Roman" w:hAnsi="Times New Roman" w:cs="Times New Roman"/>
          <w:sz w:val="20"/>
        </w:rPr>
        <w:t>. It was demonstarted</w:t>
      </w:r>
      <w:r w:rsidR="009C290F" w:rsidRPr="009C290F">
        <w:rPr>
          <w:rFonts w:ascii="Times New Roman" w:hAnsi="Times New Roman" w:cs="Times New Roman"/>
          <w:sz w:val="20"/>
          <w:vertAlign w:val="superscript"/>
        </w:rPr>
        <w:t>3</w:t>
      </w:r>
      <w:r w:rsidR="00C442D5" w:rsidRPr="009C290F">
        <w:rPr>
          <w:rFonts w:ascii="Times New Roman" w:hAnsi="Times New Roman" w:cs="Times New Roman"/>
          <w:sz w:val="20"/>
        </w:rPr>
        <w:t xml:space="preserve"> </w:t>
      </w:r>
      <w:r w:rsidR="009C290F" w:rsidRPr="009C290F">
        <w:rPr>
          <w:rFonts w:ascii="Times New Roman" w:hAnsi="Times New Roman" w:cs="Times New Roman"/>
          <w:sz w:val="20"/>
        </w:rPr>
        <w:t xml:space="preserve">that </w:t>
      </w:r>
      <w:r w:rsidR="00C442D5" w:rsidRPr="009C290F">
        <w:rPr>
          <w:rFonts w:ascii="Times New Roman" w:hAnsi="Times New Roman" w:cs="Times New Roman"/>
          <w:sz w:val="20"/>
        </w:rPr>
        <w:t xml:space="preserve">the iMICs were probably more significant when it came to determining PK/PD relationships, as </w:t>
      </w:r>
      <w:r w:rsidR="00C442D5" w:rsidRPr="009C290F">
        <w:rPr>
          <w:rFonts w:ascii="Times New Roman" w:hAnsi="Times New Roman" w:cs="Times New Roman"/>
          <w:i/>
          <w:sz w:val="20"/>
        </w:rPr>
        <w:t>L. intracellularis</w:t>
      </w:r>
      <w:r w:rsidR="00C442D5" w:rsidRPr="009C290F">
        <w:rPr>
          <w:rFonts w:ascii="Times New Roman" w:hAnsi="Times New Roman" w:cs="Times New Roman"/>
          <w:sz w:val="20"/>
        </w:rPr>
        <w:t xml:space="preserve"> penetrates epithelial cells rapidly, within hours, leaving little time for exposure to an antibiotic and the iMIC determination more simulated the exposure to infect</w:t>
      </w:r>
      <w:r w:rsidR="008C1872" w:rsidRPr="009C290F">
        <w:rPr>
          <w:rFonts w:ascii="Times New Roman" w:hAnsi="Times New Roman" w:cs="Times New Roman"/>
          <w:sz w:val="20"/>
        </w:rPr>
        <w:t>ed epithelial cells in the gut</w:t>
      </w:r>
      <w:r w:rsidR="00C442D5" w:rsidRPr="009C290F">
        <w:rPr>
          <w:rFonts w:ascii="Times New Roman" w:hAnsi="Times New Roman" w:cs="Times New Roman"/>
          <w:sz w:val="20"/>
        </w:rPr>
        <w:t xml:space="preserve"> by antibiotics given in the feed and water.</w:t>
      </w:r>
    </w:p>
    <w:p w:rsidR="00C442D5" w:rsidRDefault="00C442D5" w:rsidP="009D0BE7">
      <w:pPr>
        <w:rPr>
          <w:rFonts w:ascii="Times New Roman" w:hAnsi="Times New Roman" w:cs="Times New Roman"/>
        </w:rPr>
      </w:pPr>
    </w:p>
    <w:p w:rsidR="00035F41" w:rsidRPr="000643C8" w:rsidRDefault="00035F41" w:rsidP="00035F41">
      <w:pPr>
        <w:rPr>
          <w:rFonts w:ascii="Times New Roman" w:hAnsi="Times New Roman" w:cs="Times New Roman"/>
          <w:sz w:val="20"/>
          <w:szCs w:val="20"/>
        </w:rPr>
      </w:pPr>
      <w:r w:rsidRPr="000643C8">
        <w:rPr>
          <w:rFonts w:ascii="Times New Roman" w:hAnsi="Times New Roman" w:cs="Times New Roman"/>
          <w:sz w:val="20"/>
          <w:szCs w:val="20"/>
        </w:rPr>
        <w:t xml:space="preserve">Table </w:t>
      </w:r>
      <w:r>
        <w:rPr>
          <w:rFonts w:ascii="Times New Roman" w:hAnsi="Times New Roman" w:cs="Times New Roman"/>
          <w:sz w:val="20"/>
          <w:szCs w:val="20"/>
        </w:rPr>
        <w:t>2:</w:t>
      </w:r>
      <w:r w:rsidRPr="000643C8">
        <w:rPr>
          <w:rFonts w:ascii="Times New Roman" w:hAnsi="Times New Roman" w:cs="Times New Roman"/>
          <w:sz w:val="20"/>
          <w:szCs w:val="20"/>
        </w:rPr>
        <w:t xml:space="preserve"> </w:t>
      </w:r>
      <w:r w:rsidRPr="000643C8">
        <w:rPr>
          <w:rFonts w:ascii="Times New Roman" w:hAnsi="Times New Roman" w:cs="Times New Roman"/>
          <w:i/>
          <w:sz w:val="20"/>
          <w:szCs w:val="20"/>
        </w:rPr>
        <w:t>L. intracellularis</w:t>
      </w:r>
      <w:r w:rsidRPr="000643C8">
        <w:rPr>
          <w:rFonts w:ascii="Times New Roman" w:hAnsi="Times New Roman" w:cs="Times New Roman"/>
          <w:sz w:val="20"/>
          <w:szCs w:val="20"/>
        </w:rPr>
        <w:t xml:space="preserve"> intracellular and extracellular MIC 50, MIC 90 and range (2 x 10 isolates)</w:t>
      </w:r>
    </w:p>
    <w:tbl>
      <w:tblPr>
        <w:tblStyle w:val="TableGrid"/>
        <w:tblW w:w="5000" w:type="pct"/>
        <w:tblLook w:val="04A0" w:firstRow="1" w:lastRow="0" w:firstColumn="1" w:lastColumn="0" w:noHBand="0" w:noVBand="1"/>
      </w:tblPr>
      <w:tblGrid>
        <w:gridCol w:w="2310"/>
        <w:gridCol w:w="2310"/>
        <w:gridCol w:w="2311"/>
        <w:gridCol w:w="2311"/>
      </w:tblGrid>
      <w:tr w:rsidR="00035F41" w:rsidRPr="000643C8" w:rsidTr="00353E86">
        <w:tc>
          <w:tcPr>
            <w:tcW w:w="1250" w:type="pct"/>
          </w:tcPr>
          <w:p w:rsidR="00035F41" w:rsidRPr="000643C8" w:rsidRDefault="00035F41" w:rsidP="00353E86">
            <w:pPr>
              <w:rPr>
                <w:rFonts w:ascii="Times New Roman" w:hAnsi="Times New Roman" w:cs="Times New Roman"/>
                <w:i/>
                <w:sz w:val="20"/>
                <w:szCs w:val="20"/>
              </w:rPr>
            </w:pPr>
            <w:r w:rsidRPr="000643C8">
              <w:rPr>
                <w:rFonts w:ascii="Times New Roman" w:hAnsi="Times New Roman" w:cs="Times New Roman"/>
                <w:i/>
                <w:sz w:val="20"/>
                <w:szCs w:val="20"/>
              </w:rPr>
              <w:t>Antimicrobial</w:t>
            </w:r>
          </w:p>
        </w:tc>
        <w:tc>
          <w:tcPr>
            <w:tcW w:w="1250" w:type="pct"/>
          </w:tcPr>
          <w:p w:rsidR="00035F41" w:rsidRPr="000643C8" w:rsidRDefault="00035F41" w:rsidP="00353E86">
            <w:pPr>
              <w:rPr>
                <w:rFonts w:ascii="Times New Roman" w:hAnsi="Times New Roman" w:cs="Times New Roman"/>
                <w:i/>
                <w:sz w:val="20"/>
                <w:szCs w:val="20"/>
              </w:rPr>
            </w:pPr>
            <w:r w:rsidRPr="000643C8">
              <w:rPr>
                <w:rFonts w:ascii="Times New Roman" w:hAnsi="Times New Roman" w:cs="Times New Roman"/>
                <w:i/>
                <w:sz w:val="20"/>
                <w:szCs w:val="20"/>
              </w:rPr>
              <w:t>iMIC50 (µg/ml)</w:t>
            </w:r>
          </w:p>
        </w:tc>
        <w:tc>
          <w:tcPr>
            <w:tcW w:w="1250" w:type="pct"/>
          </w:tcPr>
          <w:p w:rsidR="00035F41" w:rsidRPr="000643C8" w:rsidRDefault="00035F41" w:rsidP="00353E86">
            <w:pPr>
              <w:rPr>
                <w:rFonts w:ascii="Times New Roman" w:hAnsi="Times New Roman" w:cs="Times New Roman"/>
                <w:i/>
                <w:sz w:val="20"/>
                <w:szCs w:val="20"/>
              </w:rPr>
            </w:pPr>
            <w:r w:rsidRPr="000643C8">
              <w:rPr>
                <w:rFonts w:ascii="Times New Roman" w:hAnsi="Times New Roman" w:cs="Times New Roman"/>
                <w:i/>
                <w:sz w:val="20"/>
                <w:szCs w:val="20"/>
              </w:rPr>
              <w:t>iMIC 90 (µg/ml)</w:t>
            </w:r>
          </w:p>
        </w:tc>
        <w:tc>
          <w:tcPr>
            <w:tcW w:w="1250" w:type="pct"/>
          </w:tcPr>
          <w:p w:rsidR="00035F41" w:rsidRPr="000643C8" w:rsidRDefault="00035F41" w:rsidP="00353E86">
            <w:pPr>
              <w:rPr>
                <w:rFonts w:ascii="Times New Roman" w:hAnsi="Times New Roman" w:cs="Times New Roman"/>
                <w:i/>
                <w:sz w:val="20"/>
                <w:szCs w:val="20"/>
              </w:rPr>
            </w:pPr>
            <w:r w:rsidRPr="000643C8">
              <w:rPr>
                <w:rFonts w:ascii="Times New Roman" w:hAnsi="Times New Roman" w:cs="Times New Roman"/>
                <w:i/>
                <w:sz w:val="20"/>
                <w:szCs w:val="20"/>
              </w:rPr>
              <w:t>iMIC Range (µg/ml)</w:t>
            </w:r>
          </w:p>
        </w:tc>
      </w:tr>
      <w:tr w:rsidR="00035F41" w:rsidRPr="000643C8" w:rsidTr="00353E86">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Tiamulin</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0.125</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0.125</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0.125 - 0.5</w:t>
            </w:r>
          </w:p>
        </w:tc>
      </w:tr>
      <w:tr w:rsidR="00035F41" w:rsidRPr="000643C8" w:rsidTr="00353E86">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Valnemulin</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0.125</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0.125</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0.125</w:t>
            </w:r>
          </w:p>
        </w:tc>
      </w:tr>
      <w:tr w:rsidR="00035F41" w:rsidRPr="000643C8" w:rsidTr="00353E86">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Tylosin</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2.0</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8.0</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0.25 - 32</w:t>
            </w:r>
          </w:p>
        </w:tc>
      </w:tr>
      <w:tr w:rsidR="00035F41" w:rsidRPr="000643C8" w:rsidTr="00353E86">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Lincomycin</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64</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&gt;128</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8.0 - &gt;128</w:t>
            </w:r>
          </w:p>
        </w:tc>
      </w:tr>
      <w:tr w:rsidR="00035F41" w:rsidRPr="000643C8" w:rsidTr="00353E86">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Chlortetracycline</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8.0</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64</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0.125 - 64</w:t>
            </w:r>
          </w:p>
        </w:tc>
      </w:tr>
      <w:tr w:rsidR="00035F41" w:rsidRPr="000643C8" w:rsidTr="00353E86">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Carbadox</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0.125</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0.25</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0.125-0.25</w:t>
            </w:r>
          </w:p>
        </w:tc>
      </w:tr>
      <w:tr w:rsidR="00035F41" w:rsidRPr="000643C8" w:rsidTr="00353E86">
        <w:tc>
          <w:tcPr>
            <w:tcW w:w="1250" w:type="pct"/>
          </w:tcPr>
          <w:p w:rsidR="00035F41" w:rsidRPr="000643C8" w:rsidRDefault="00035F41" w:rsidP="00353E86">
            <w:pPr>
              <w:rPr>
                <w:rFonts w:ascii="Times New Roman" w:hAnsi="Times New Roman" w:cs="Times New Roman"/>
                <w:i/>
                <w:sz w:val="20"/>
                <w:szCs w:val="20"/>
              </w:rPr>
            </w:pPr>
            <w:r w:rsidRPr="000643C8">
              <w:rPr>
                <w:rFonts w:ascii="Times New Roman" w:hAnsi="Times New Roman" w:cs="Times New Roman"/>
                <w:i/>
                <w:sz w:val="20"/>
                <w:szCs w:val="20"/>
              </w:rPr>
              <w:t>Antimicrobial</w:t>
            </w:r>
          </w:p>
        </w:tc>
        <w:tc>
          <w:tcPr>
            <w:tcW w:w="1250" w:type="pct"/>
          </w:tcPr>
          <w:p w:rsidR="00035F41" w:rsidRPr="000643C8" w:rsidRDefault="00035F41" w:rsidP="00353E86">
            <w:pPr>
              <w:rPr>
                <w:rFonts w:ascii="Times New Roman" w:hAnsi="Times New Roman" w:cs="Times New Roman"/>
                <w:i/>
                <w:sz w:val="20"/>
                <w:szCs w:val="20"/>
              </w:rPr>
            </w:pPr>
            <w:r w:rsidRPr="000643C8">
              <w:rPr>
                <w:rFonts w:ascii="Times New Roman" w:hAnsi="Times New Roman" w:cs="Times New Roman"/>
                <w:i/>
                <w:sz w:val="20"/>
                <w:szCs w:val="20"/>
              </w:rPr>
              <w:t>eMIC50 (µg/ml)</w:t>
            </w:r>
          </w:p>
        </w:tc>
        <w:tc>
          <w:tcPr>
            <w:tcW w:w="1250" w:type="pct"/>
          </w:tcPr>
          <w:p w:rsidR="00035F41" w:rsidRPr="000643C8" w:rsidRDefault="00035F41" w:rsidP="00353E86">
            <w:pPr>
              <w:rPr>
                <w:rFonts w:ascii="Times New Roman" w:hAnsi="Times New Roman" w:cs="Times New Roman"/>
                <w:i/>
                <w:sz w:val="20"/>
                <w:szCs w:val="20"/>
              </w:rPr>
            </w:pPr>
            <w:r w:rsidRPr="000643C8">
              <w:rPr>
                <w:rFonts w:ascii="Times New Roman" w:hAnsi="Times New Roman" w:cs="Times New Roman"/>
                <w:i/>
                <w:sz w:val="20"/>
                <w:szCs w:val="20"/>
              </w:rPr>
              <w:t>eMIC 90 (µg/ml)</w:t>
            </w:r>
          </w:p>
        </w:tc>
        <w:tc>
          <w:tcPr>
            <w:tcW w:w="1250" w:type="pct"/>
          </w:tcPr>
          <w:p w:rsidR="00035F41" w:rsidRPr="000643C8" w:rsidRDefault="00035F41" w:rsidP="00353E86">
            <w:pPr>
              <w:rPr>
                <w:rFonts w:ascii="Times New Roman" w:hAnsi="Times New Roman" w:cs="Times New Roman"/>
                <w:i/>
                <w:sz w:val="20"/>
                <w:szCs w:val="20"/>
              </w:rPr>
            </w:pPr>
            <w:r w:rsidRPr="000643C8">
              <w:rPr>
                <w:rFonts w:ascii="Times New Roman" w:hAnsi="Times New Roman" w:cs="Times New Roman"/>
                <w:i/>
                <w:sz w:val="20"/>
                <w:szCs w:val="20"/>
              </w:rPr>
              <w:t>eMIC Range (µg/ml)</w:t>
            </w:r>
          </w:p>
        </w:tc>
      </w:tr>
      <w:tr w:rsidR="00035F41" w:rsidRPr="000643C8" w:rsidTr="00353E86">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Tiamulin</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4.0</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8.0</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1.0 – 32</w:t>
            </w:r>
          </w:p>
        </w:tc>
      </w:tr>
      <w:tr w:rsidR="00035F41" w:rsidRPr="000643C8" w:rsidTr="00353E86">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Valnemulin</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0.25</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1.0</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0.125 – 4.0</w:t>
            </w:r>
          </w:p>
        </w:tc>
      </w:tr>
      <w:tr w:rsidR="00035F41" w:rsidRPr="000643C8" w:rsidTr="00353E86">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Tylosin</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16</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128</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1.0 - &gt;128</w:t>
            </w:r>
          </w:p>
        </w:tc>
      </w:tr>
      <w:tr w:rsidR="00035F41" w:rsidRPr="000643C8" w:rsidTr="00353E86">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Lincomycin</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&gt;128</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&gt;128</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32 - &gt;128</w:t>
            </w:r>
          </w:p>
        </w:tc>
      </w:tr>
      <w:tr w:rsidR="00035F41" w:rsidRPr="000643C8" w:rsidTr="00353E86">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Chlortetracycline</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64</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64</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16 – 64</w:t>
            </w:r>
          </w:p>
        </w:tc>
      </w:tr>
      <w:tr w:rsidR="00035F41" w:rsidRPr="000643C8" w:rsidTr="00353E86">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Carbadox</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4.0</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16</w:t>
            </w:r>
          </w:p>
        </w:tc>
        <w:tc>
          <w:tcPr>
            <w:tcW w:w="1250" w:type="pct"/>
          </w:tcPr>
          <w:p w:rsidR="00035F41" w:rsidRPr="000643C8" w:rsidRDefault="00035F41" w:rsidP="00353E86">
            <w:pPr>
              <w:rPr>
                <w:rFonts w:ascii="Times New Roman" w:hAnsi="Times New Roman" w:cs="Times New Roman"/>
                <w:sz w:val="20"/>
                <w:szCs w:val="20"/>
              </w:rPr>
            </w:pPr>
            <w:r w:rsidRPr="000643C8">
              <w:rPr>
                <w:rFonts w:ascii="Times New Roman" w:hAnsi="Times New Roman" w:cs="Times New Roman"/>
                <w:sz w:val="20"/>
                <w:szCs w:val="20"/>
              </w:rPr>
              <w:t>1.0-32</w:t>
            </w:r>
          </w:p>
        </w:tc>
      </w:tr>
    </w:tbl>
    <w:p w:rsidR="00035F41" w:rsidRDefault="00035F41" w:rsidP="009D0BE7">
      <w:pPr>
        <w:rPr>
          <w:rFonts w:ascii="Times New Roman" w:hAnsi="Times New Roman" w:cs="Times New Roman"/>
        </w:rPr>
      </w:pPr>
    </w:p>
    <w:p w:rsidR="00795376" w:rsidRDefault="00795376" w:rsidP="009D0BE7">
      <w:pPr>
        <w:rPr>
          <w:rFonts w:ascii="Times New Roman" w:hAnsi="Times New Roman" w:cs="Times New Roman"/>
          <w:sz w:val="20"/>
        </w:rPr>
      </w:pPr>
      <w:r w:rsidRPr="00C92DD5">
        <w:rPr>
          <w:rFonts w:ascii="Times New Roman" w:hAnsi="Times New Roman" w:cs="Times New Roman"/>
          <w:sz w:val="20"/>
        </w:rPr>
        <w:t xml:space="preserve">In addition different susceptibility patterns could be demonstrated </w:t>
      </w:r>
      <w:r w:rsidR="00520B29" w:rsidRPr="00C92DD5">
        <w:rPr>
          <w:rFonts w:ascii="Times New Roman" w:hAnsi="Times New Roman" w:cs="Times New Roman"/>
          <w:sz w:val="20"/>
        </w:rPr>
        <w:t xml:space="preserve">for different antibiotics, which suggested that </w:t>
      </w:r>
      <w:r w:rsidR="00376BD1" w:rsidRPr="00C92DD5">
        <w:rPr>
          <w:rFonts w:ascii="Times New Roman" w:hAnsi="Times New Roman" w:cs="Times New Roman"/>
          <w:sz w:val="20"/>
        </w:rPr>
        <w:t xml:space="preserve">reduced susceptibility or even </w:t>
      </w:r>
      <w:r w:rsidR="00520B29" w:rsidRPr="00C92DD5">
        <w:rPr>
          <w:rFonts w:ascii="Times New Roman" w:hAnsi="Times New Roman" w:cs="Times New Roman"/>
          <w:sz w:val="20"/>
        </w:rPr>
        <w:t xml:space="preserve">resistance development may have evolved in some cases, e.g. </w:t>
      </w:r>
      <w:r w:rsidR="00376BD1" w:rsidRPr="00C92DD5">
        <w:rPr>
          <w:rFonts w:ascii="Times New Roman" w:hAnsi="Times New Roman" w:cs="Times New Roman"/>
          <w:sz w:val="20"/>
        </w:rPr>
        <w:t xml:space="preserve">tetracycline and </w:t>
      </w:r>
      <w:r w:rsidR="00520B29" w:rsidRPr="00C92DD5">
        <w:rPr>
          <w:rFonts w:ascii="Times New Roman" w:hAnsi="Times New Roman" w:cs="Times New Roman"/>
          <w:sz w:val="20"/>
        </w:rPr>
        <w:t>lincomycin</w:t>
      </w:r>
      <w:r w:rsidR="00376BD1" w:rsidRPr="00C92DD5">
        <w:rPr>
          <w:rFonts w:ascii="Times New Roman" w:hAnsi="Times New Roman" w:cs="Times New Roman"/>
          <w:sz w:val="20"/>
        </w:rPr>
        <w:t xml:space="preserve"> but not to tiamulin, valnemulin, carbadox and tylosin</w:t>
      </w:r>
      <w:r w:rsidR="00035F41">
        <w:rPr>
          <w:rFonts w:ascii="Times New Roman" w:hAnsi="Times New Roman" w:cs="Times New Roman"/>
          <w:sz w:val="20"/>
        </w:rPr>
        <w:t xml:space="preserve"> (see Figure 1).</w:t>
      </w:r>
    </w:p>
    <w:p w:rsidR="00035F41" w:rsidRDefault="00035F41" w:rsidP="009D0BE7">
      <w:pPr>
        <w:rPr>
          <w:rFonts w:ascii="Times New Roman" w:hAnsi="Times New Roman" w:cs="Times New Roman"/>
          <w:sz w:val="20"/>
        </w:rPr>
      </w:pPr>
    </w:p>
    <w:p w:rsidR="00035F41" w:rsidRPr="00E0379D" w:rsidRDefault="00035F41" w:rsidP="00035F41">
      <w:pPr>
        <w:rPr>
          <w:rFonts w:ascii="Times New Roman" w:hAnsi="Times New Roman" w:cs="Times New Roman"/>
          <w:i/>
          <w:sz w:val="20"/>
        </w:rPr>
      </w:pPr>
      <w:r w:rsidRPr="00E0379D">
        <w:rPr>
          <w:rFonts w:ascii="Times New Roman" w:hAnsi="Times New Roman" w:cs="Times New Roman"/>
          <w:sz w:val="20"/>
        </w:rPr>
        <w:t xml:space="preserve">Figure 1. Comparative susceptibility pattern of tiamulin and lincomycin iMICs against </w:t>
      </w:r>
      <w:r w:rsidRPr="00E0379D">
        <w:rPr>
          <w:rFonts w:ascii="Times New Roman" w:hAnsi="Times New Roman" w:cs="Times New Roman"/>
          <w:i/>
          <w:sz w:val="20"/>
        </w:rPr>
        <w:t>L. intracellularis</w:t>
      </w:r>
    </w:p>
    <w:p w:rsidR="00035F41" w:rsidRPr="00E0379D" w:rsidRDefault="00035F41" w:rsidP="00035F41">
      <w:pPr>
        <w:rPr>
          <w:rFonts w:ascii="Times New Roman" w:hAnsi="Times New Roman" w:cs="Times New Roman"/>
          <w:color w:val="FF0000"/>
          <w:sz w:val="20"/>
        </w:rPr>
      </w:pPr>
      <w:r w:rsidRPr="00E0379D">
        <w:rPr>
          <w:rFonts w:ascii="Times New Roman" w:hAnsi="Times New Roman" w:cs="Times New Roman"/>
          <w:noProof/>
          <w:color w:val="FF0000"/>
          <w:sz w:val="20"/>
          <w:lang w:eastAsia="en-GB"/>
        </w:rPr>
        <w:drawing>
          <wp:inline distT="0" distB="0" distL="0" distR="0">
            <wp:extent cx="5731510" cy="3342768"/>
            <wp:effectExtent l="19050" t="0" r="21590" b="0"/>
            <wp:docPr id="2"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035F41" w:rsidRPr="00C92DD5" w:rsidRDefault="00035F41" w:rsidP="009D0BE7">
      <w:pPr>
        <w:rPr>
          <w:rFonts w:ascii="Times New Roman" w:hAnsi="Times New Roman" w:cs="Times New Roman"/>
          <w:sz w:val="20"/>
        </w:rPr>
      </w:pPr>
    </w:p>
    <w:p w:rsidR="00520B29" w:rsidRDefault="00520B29" w:rsidP="009D0BE7">
      <w:pPr>
        <w:rPr>
          <w:rFonts w:ascii="Times New Roman" w:hAnsi="Times New Roman" w:cs="Times New Roman"/>
        </w:rPr>
      </w:pPr>
    </w:p>
    <w:p w:rsidR="00795376" w:rsidRPr="009C290F" w:rsidRDefault="00795376" w:rsidP="009D0BE7">
      <w:pPr>
        <w:rPr>
          <w:rFonts w:ascii="Times New Roman" w:hAnsi="Times New Roman" w:cs="Times New Roman"/>
          <w:i/>
          <w:sz w:val="24"/>
        </w:rPr>
      </w:pPr>
      <w:r w:rsidRPr="009C290F">
        <w:rPr>
          <w:rFonts w:ascii="Times New Roman" w:hAnsi="Times New Roman" w:cs="Times New Roman"/>
          <w:i/>
          <w:sz w:val="24"/>
        </w:rPr>
        <w:lastRenderedPageBreak/>
        <w:t>Brachyspira hyodysenteriae</w:t>
      </w:r>
    </w:p>
    <w:p w:rsidR="00795376" w:rsidRPr="009C290F" w:rsidRDefault="00520B29" w:rsidP="009D0BE7">
      <w:pPr>
        <w:rPr>
          <w:rFonts w:ascii="Times New Roman" w:hAnsi="Times New Roman" w:cs="Times New Roman"/>
          <w:sz w:val="20"/>
        </w:rPr>
      </w:pPr>
      <w:r w:rsidRPr="009C290F">
        <w:rPr>
          <w:rFonts w:ascii="Times New Roman" w:hAnsi="Times New Roman" w:cs="Times New Roman"/>
          <w:sz w:val="20"/>
        </w:rPr>
        <w:t xml:space="preserve">Interest in </w:t>
      </w:r>
      <w:r w:rsidRPr="009C290F">
        <w:rPr>
          <w:rFonts w:ascii="Times New Roman" w:hAnsi="Times New Roman" w:cs="Times New Roman"/>
          <w:i/>
          <w:sz w:val="20"/>
        </w:rPr>
        <w:t>B. hyodysenteriae</w:t>
      </w:r>
      <w:r w:rsidRPr="009C290F">
        <w:rPr>
          <w:rFonts w:ascii="Times New Roman" w:hAnsi="Times New Roman" w:cs="Times New Roman"/>
          <w:sz w:val="20"/>
        </w:rPr>
        <w:t xml:space="preserve"> waned in the US over the last decade but has recently been rekindled with a number of outbreaks of </w:t>
      </w:r>
      <w:r w:rsidRPr="009C290F">
        <w:rPr>
          <w:rFonts w:ascii="Times New Roman" w:hAnsi="Times New Roman" w:cs="Times New Roman"/>
          <w:i/>
          <w:sz w:val="20"/>
        </w:rPr>
        <w:t>Brachyspira</w:t>
      </w:r>
      <w:r w:rsidRPr="009C290F">
        <w:rPr>
          <w:rFonts w:ascii="Times New Roman" w:hAnsi="Times New Roman" w:cs="Times New Roman"/>
          <w:sz w:val="20"/>
        </w:rPr>
        <w:t xml:space="preserve"> spp associated</w:t>
      </w:r>
      <w:r w:rsidR="009C290F">
        <w:rPr>
          <w:rFonts w:ascii="Times New Roman" w:hAnsi="Times New Roman" w:cs="Times New Roman"/>
          <w:sz w:val="20"/>
        </w:rPr>
        <w:t xml:space="preserve"> diarrhoeas</w:t>
      </w:r>
      <w:r w:rsidR="009C290F" w:rsidRPr="009C290F">
        <w:rPr>
          <w:rFonts w:ascii="Times New Roman" w:hAnsi="Times New Roman" w:cs="Times New Roman"/>
          <w:sz w:val="20"/>
          <w:vertAlign w:val="superscript"/>
        </w:rPr>
        <w:t>4</w:t>
      </w:r>
      <w:r w:rsidR="009C290F">
        <w:rPr>
          <w:rFonts w:ascii="Times New Roman" w:hAnsi="Times New Roman" w:cs="Times New Roman"/>
          <w:sz w:val="20"/>
        </w:rPr>
        <w:t xml:space="preserve"> </w:t>
      </w:r>
      <w:r w:rsidRPr="009C290F">
        <w:rPr>
          <w:rFonts w:ascii="Times New Roman" w:hAnsi="Times New Roman" w:cs="Times New Roman"/>
          <w:sz w:val="20"/>
        </w:rPr>
        <w:t>in N. America. Europe has been struggling with the disease and resistance issues, especially since</w:t>
      </w:r>
      <w:r w:rsidR="008C1872" w:rsidRPr="009C290F">
        <w:rPr>
          <w:rFonts w:ascii="Times New Roman" w:hAnsi="Times New Roman" w:cs="Times New Roman"/>
          <w:sz w:val="20"/>
        </w:rPr>
        <w:t xml:space="preserve"> 2006 when c</w:t>
      </w:r>
      <w:r w:rsidRPr="009C290F">
        <w:rPr>
          <w:rFonts w:ascii="Times New Roman" w:hAnsi="Times New Roman" w:cs="Times New Roman"/>
          <w:sz w:val="20"/>
        </w:rPr>
        <w:t>ertain growth promoters</w:t>
      </w:r>
      <w:r w:rsidR="008C1872" w:rsidRPr="009C290F">
        <w:rPr>
          <w:rFonts w:ascii="Times New Roman" w:hAnsi="Times New Roman" w:cs="Times New Roman"/>
          <w:sz w:val="20"/>
        </w:rPr>
        <w:t xml:space="preserve"> were banned, which</w:t>
      </w:r>
      <w:r w:rsidRPr="009C290F">
        <w:rPr>
          <w:rFonts w:ascii="Times New Roman" w:hAnsi="Times New Roman" w:cs="Times New Roman"/>
          <w:sz w:val="20"/>
        </w:rPr>
        <w:t xml:space="preserve"> also inhibited </w:t>
      </w:r>
      <w:r w:rsidRPr="009C290F">
        <w:rPr>
          <w:rFonts w:ascii="Times New Roman" w:hAnsi="Times New Roman" w:cs="Times New Roman"/>
          <w:i/>
          <w:sz w:val="20"/>
        </w:rPr>
        <w:t>B. hyodysenteriae</w:t>
      </w:r>
      <w:r w:rsidRPr="009C290F">
        <w:rPr>
          <w:rFonts w:ascii="Times New Roman" w:hAnsi="Times New Roman" w:cs="Times New Roman"/>
          <w:sz w:val="20"/>
        </w:rPr>
        <w:t>.</w:t>
      </w:r>
    </w:p>
    <w:p w:rsidR="00520B29" w:rsidRPr="009C290F" w:rsidRDefault="00520B29" w:rsidP="009D0BE7">
      <w:pPr>
        <w:rPr>
          <w:rFonts w:ascii="Times New Roman" w:hAnsi="Times New Roman" w:cs="Times New Roman"/>
          <w:sz w:val="20"/>
        </w:rPr>
      </w:pPr>
    </w:p>
    <w:p w:rsidR="00520B29" w:rsidRDefault="00520B29" w:rsidP="009D0BE7">
      <w:pPr>
        <w:rPr>
          <w:rFonts w:ascii="Times New Roman" w:hAnsi="Times New Roman" w:cs="Times New Roman"/>
          <w:sz w:val="20"/>
        </w:rPr>
      </w:pPr>
      <w:r w:rsidRPr="009C290F">
        <w:rPr>
          <w:rFonts w:ascii="Times New Roman" w:hAnsi="Times New Roman" w:cs="Times New Roman"/>
          <w:sz w:val="20"/>
        </w:rPr>
        <w:t xml:space="preserve">One of the first major </w:t>
      </w:r>
      <w:r w:rsidR="00376BD1" w:rsidRPr="009C290F">
        <w:rPr>
          <w:rFonts w:ascii="Times New Roman" w:hAnsi="Times New Roman" w:cs="Times New Roman"/>
          <w:sz w:val="20"/>
        </w:rPr>
        <w:t>rep</w:t>
      </w:r>
      <w:r w:rsidR="009C290F">
        <w:rPr>
          <w:rFonts w:ascii="Times New Roman" w:hAnsi="Times New Roman" w:cs="Times New Roman"/>
          <w:sz w:val="20"/>
        </w:rPr>
        <w:t>orts</w:t>
      </w:r>
      <w:r w:rsidR="009C290F" w:rsidRPr="009C290F">
        <w:rPr>
          <w:rFonts w:ascii="Times New Roman" w:hAnsi="Times New Roman" w:cs="Times New Roman"/>
          <w:sz w:val="20"/>
          <w:vertAlign w:val="superscript"/>
        </w:rPr>
        <w:t>5</w:t>
      </w:r>
      <w:r w:rsidR="00376BD1" w:rsidRPr="009C290F">
        <w:rPr>
          <w:rFonts w:ascii="Times New Roman" w:hAnsi="Times New Roman" w:cs="Times New Roman"/>
          <w:sz w:val="20"/>
        </w:rPr>
        <w:t xml:space="preserve"> described the MICs of 76 Australian isolates of </w:t>
      </w:r>
      <w:r w:rsidR="00376BD1" w:rsidRPr="009C290F">
        <w:rPr>
          <w:rFonts w:ascii="Times New Roman" w:hAnsi="Times New Roman" w:cs="Times New Roman"/>
          <w:i/>
          <w:sz w:val="20"/>
        </w:rPr>
        <w:t>B. hyodysenteriae</w:t>
      </w:r>
      <w:r w:rsidR="00376BD1" w:rsidRPr="009C290F">
        <w:rPr>
          <w:rFonts w:ascii="Times New Roman" w:hAnsi="Times New Roman" w:cs="Times New Roman"/>
          <w:sz w:val="20"/>
        </w:rPr>
        <w:t>, using a new microbroth dilution method</w:t>
      </w:r>
      <w:r w:rsidR="009C290F">
        <w:rPr>
          <w:rFonts w:ascii="Times New Roman" w:hAnsi="Times New Roman" w:cs="Times New Roman"/>
          <w:sz w:val="20"/>
        </w:rPr>
        <w:t xml:space="preserve"> (see Table 3)</w:t>
      </w:r>
      <w:r w:rsidR="00376BD1" w:rsidRPr="009C290F">
        <w:rPr>
          <w:rFonts w:ascii="Times New Roman" w:hAnsi="Times New Roman" w:cs="Times New Roman"/>
          <w:sz w:val="20"/>
        </w:rPr>
        <w:t>.</w:t>
      </w:r>
    </w:p>
    <w:p w:rsidR="00035F41" w:rsidRDefault="00035F41" w:rsidP="009D0BE7">
      <w:pPr>
        <w:rPr>
          <w:rFonts w:ascii="Times New Roman" w:hAnsi="Times New Roman" w:cs="Times New Roman"/>
          <w:sz w:val="20"/>
        </w:rPr>
      </w:pPr>
    </w:p>
    <w:p w:rsidR="00035F41" w:rsidRPr="000643C8" w:rsidRDefault="00035F41" w:rsidP="00035F41">
      <w:pPr>
        <w:rPr>
          <w:rFonts w:ascii="Times New Roman" w:hAnsi="Times New Roman" w:cs="Times New Roman"/>
          <w:sz w:val="20"/>
        </w:rPr>
      </w:pPr>
      <w:r>
        <w:rPr>
          <w:rFonts w:ascii="Times New Roman" w:hAnsi="Times New Roman" w:cs="Times New Roman"/>
          <w:sz w:val="20"/>
        </w:rPr>
        <w:t>Table 3:</w:t>
      </w:r>
      <w:r w:rsidRPr="000643C8">
        <w:rPr>
          <w:rFonts w:ascii="Times New Roman" w:hAnsi="Times New Roman" w:cs="Times New Roman"/>
          <w:sz w:val="20"/>
        </w:rPr>
        <w:t xml:space="preserve"> </w:t>
      </w:r>
      <w:r w:rsidRPr="000643C8">
        <w:rPr>
          <w:rFonts w:ascii="Times New Roman" w:hAnsi="Times New Roman" w:cs="Times New Roman"/>
          <w:i/>
          <w:sz w:val="20"/>
        </w:rPr>
        <w:t>B. hyodysenteriae</w:t>
      </w:r>
      <w:r w:rsidRPr="000643C8">
        <w:rPr>
          <w:rFonts w:ascii="Times New Roman" w:hAnsi="Times New Roman" w:cs="Times New Roman"/>
          <w:sz w:val="20"/>
        </w:rPr>
        <w:t xml:space="preserve"> MIC 50, MIC 90 and range against a number of antibiotics</w:t>
      </w:r>
    </w:p>
    <w:tbl>
      <w:tblPr>
        <w:tblStyle w:val="TableGrid"/>
        <w:tblW w:w="5000" w:type="pct"/>
        <w:tblLook w:val="04A0" w:firstRow="1" w:lastRow="0" w:firstColumn="1" w:lastColumn="0" w:noHBand="0" w:noVBand="1"/>
      </w:tblPr>
      <w:tblGrid>
        <w:gridCol w:w="2310"/>
        <w:gridCol w:w="2310"/>
        <w:gridCol w:w="2311"/>
        <w:gridCol w:w="2311"/>
      </w:tblGrid>
      <w:tr w:rsidR="00035F41" w:rsidRPr="000643C8" w:rsidTr="00353E86">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Antibiotic</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MIC 50 (</w:t>
            </w:r>
            <w:r w:rsidRPr="000643C8">
              <w:rPr>
                <w:rFonts w:ascii="Calibri" w:hAnsi="Calibri" w:cs="Calibri"/>
                <w:sz w:val="20"/>
              </w:rPr>
              <w:t>µ</w:t>
            </w:r>
            <w:r w:rsidRPr="000643C8">
              <w:rPr>
                <w:rFonts w:ascii="Times New Roman" w:hAnsi="Times New Roman" w:cs="Times New Roman"/>
                <w:sz w:val="20"/>
              </w:rPr>
              <w:t>g/ml)</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MIC 90 (</w:t>
            </w:r>
            <w:r w:rsidRPr="000643C8">
              <w:rPr>
                <w:rFonts w:ascii="Calibri" w:hAnsi="Calibri" w:cs="Calibri"/>
                <w:sz w:val="20"/>
              </w:rPr>
              <w:t>µ</w:t>
            </w:r>
            <w:r w:rsidRPr="000643C8">
              <w:rPr>
                <w:rFonts w:ascii="Times New Roman" w:hAnsi="Times New Roman" w:cs="Times New Roman"/>
                <w:sz w:val="20"/>
              </w:rPr>
              <w:t>g/ml)</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MIC range (</w:t>
            </w:r>
            <w:r w:rsidRPr="000643C8">
              <w:rPr>
                <w:rFonts w:ascii="Calibri" w:hAnsi="Calibri" w:cs="Calibri"/>
                <w:sz w:val="20"/>
              </w:rPr>
              <w:t>µ</w:t>
            </w:r>
            <w:r w:rsidRPr="000643C8">
              <w:rPr>
                <w:rFonts w:ascii="Times New Roman" w:hAnsi="Times New Roman" w:cs="Times New Roman"/>
                <w:sz w:val="20"/>
              </w:rPr>
              <w:t>g/ml)</w:t>
            </w:r>
          </w:p>
        </w:tc>
      </w:tr>
      <w:tr w:rsidR="00035F41" w:rsidRPr="000643C8" w:rsidTr="00353E86">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Tiamulin</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0.125</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1.0</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≤0.016-2.0</w:t>
            </w:r>
          </w:p>
        </w:tc>
      </w:tr>
      <w:tr w:rsidR="00035F41" w:rsidRPr="000643C8" w:rsidTr="00353E86">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Valnemulin</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0.031</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0.5</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≤0.016-2.0</w:t>
            </w:r>
          </w:p>
        </w:tc>
      </w:tr>
      <w:tr w:rsidR="00035F41" w:rsidRPr="000643C8" w:rsidTr="00353E86">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Tylosin</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&gt;256</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&gt;256</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8.0-&gt;256</w:t>
            </w:r>
          </w:p>
        </w:tc>
      </w:tr>
      <w:tr w:rsidR="00035F41" w:rsidRPr="000643C8" w:rsidTr="00353E86">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Lincomycin</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16</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64</w:t>
            </w:r>
          </w:p>
        </w:tc>
        <w:tc>
          <w:tcPr>
            <w:tcW w:w="1250" w:type="pct"/>
          </w:tcPr>
          <w:p w:rsidR="00035F41" w:rsidRPr="000643C8" w:rsidRDefault="00035F41" w:rsidP="00353E86">
            <w:pPr>
              <w:rPr>
                <w:rFonts w:ascii="Times New Roman" w:hAnsi="Times New Roman" w:cs="Times New Roman"/>
                <w:sz w:val="20"/>
              </w:rPr>
            </w:pPr>
            <w:r w:rsidRPr="000643C8">
              <w:rPr>
                <w:rFonts w:ascii="Times New Roman" w:hAnsi="Times New Roman" w:cs="Times New Roman"/>
                <w:sz w:val="20"/>
              </w:rPr>
              <w:t>≤1.0-64</w:t>
            </w:r>
          </w:p>
        </w:tc>
      </w:tr>
    </w:tbl>
    <w:p w:rsidR="00376BD1" w:rsidRDefault="00376BD1" w:rsidP="009D0BE7">
      <w:pPr>
        <w:rPr>
          <w:rFonts w:ascii="Times New Roman" w:hAnsi="Times New Roman" w:cs="Times New Roman"/>
        </w:rPr>
      </w:pPr>
    </w:p>
    <w:p w:rsidR="00795376" w:rsidRDefault="00880CF0" w:rsidP="009D0BE7">
      <w:pPr>
        <w:rPr>
          <w:rFonts w:ascii="Times New Roman" w:hAnsi="Times New Roman" w:cs="Times New Roman"/>
          <w:sz w:val="20"/>
        </w:rPr>
      </w:pPr>
      <w:r w:rsidRPr="009C290F">
        <w:rPr>
          <w:rFonts w:ascii="Times New Roman" w:hAnsi="Times New Roman" w:cs="Times New Roman"/>
          <w:sz w:val="20"/>
        </w:rPr>
        <w:t>From this data, sufficient information was available to formulate susceptibility patterns for the different antibiotics</w:t>
      </w:r>
      <w:r w:rsidR="009C290F">
        <w:rPr>
          <w:rFonts w:ascii="Times New Roman" w:hAnsi="Times New Roman" w:cs="Times New Roman"/>
          <w:sz w:val="20"/>
        </w:rPr>
        <w:t xml:space="preserve"> (see Figure 2)</w:t>
      </w:r>
      <w:r w:rsidRPr="009C290F">
        <w:rPr>
          <w:rFonts w:ascii="Times New Roman" w:hAnsi="Times New Roman" w:cs="Times New Roman"/>
          <w:sz w:val="20"/>
        </w:rPr>
        <w:t>.</w:t>
      </w:r>
    </w:p>
    <w:p w:rsidR="00035F41" w:rsidRDefault="00035F41" w:rsidP="009D0BE7">
      <w:pPr>
        <w:rPr>
          <w:rFonts w:ascii="Times New Roman" w:hAnsi="Times New Roman" w:cs="Times New Roman"/>
          <w:sz w:val="20"/>
        </w:rPr>
      </w:pPr>
    </w:p>
    <w:p w:rsidR="00035F41" w:rsidRPr="00E0379D" w:rsidRDefault="00035F41" w:rsidP="00035F41">
      <w:pPr>
        <w:rPr>
          <w:rFonts w:ascii="Times New Roman" w:hAnsi="Times New Roman" w:cs="Times New Roman"/>
          <w:sz w:val="20"/>
        </w:rPr>
      </w:pPr>
      <w:r w:rsidRPr="00E0379D">
        <w:rPr>
          <w:rFonts w:ascii="Times New Roman" w:hAnsi="Times New Roman" w:cs="Times New Roman"/>
          <w:sz w:val="20"/>
        </w:rPr>
        <w:t xml:space="preserve">Figure2. Comparative susceptibility patterns for tiamulin and tylosin against </w:t>
      </w:r>
      <w:r w:rsidRPr="00E0379D">
        <w:rPr>
          <w:rFonts w:ascii="Times New Roman" w:hAnsi="Times New Roman" w:cs="Times New Roman"/>
          <w:i/>
          <w:sz w:val="20"/>
        </w:rPr>
        <w:t>B. hyodysenteriae</w:t>
      </w:r>
    </w:p>
    <w:p w:rsidR="00035F41" w:rsidRDefault="00035F41" w:rsidP="00035F41">
      <w:pPr>
        <w:rPr>
          <w:rFonts w:ascii="Times New Roman" w:hAnsi="Times New Roman" w:cs="Times New Roman"/>
        </w:rPr>
      </w:pPr>
      <w:r w:rsidRPr="00880CF0">
        <w:rPr>
          <w:rFonts w:ascii="Times New Roman" w:hAnsi="Times New Roman" w:cs="Times New Roman"/>
          <w:noProof/>
          <w:lang w:eastAsia="en-GB"/>
        </w:rPr>
        <w:drawing>
          <wp:inline distT="0" distB="0" distL="0" distR="0">
            <wp:extent cx="5731510" cy="3734667"/>
            <wp:effectExtent l="19050" t="0" r="21590" b="0"/>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80CF0" w:rsidRDefault="00880CF0" w:rsidP="009D0BE7">
      <w:pPr>
        <w:rPr>
          <w:rFonts w:ascii="Times New Roman" w:hAnsi="Times New Roman" w:cs="Times New Roman"/>
        </w:rPr>
      </w:pPr>
    </w:p>
    <w:p w:rsidR="00830EC3" w:rsidRDefault="00284374" w:rsidP="009D0BE7">
      <w:pPr>
        <w:rPr>
          <w:rFonts w:ascii="Times New Roman" w:hAnsi="Times New Roman" w:cs="Times New Roman"/>
          <w:sz w:val="20"/>
        </w:rPr>
      </w:pPr>
      <w:r w:rsidRPr="00284374">
        <w:rPr>
          <w:rFonts w:ascii="Times New Roman" w:hAnsi="Times New Roman" w:cs="Times New Roman"/>
          <w:sz w:val="20"/>
        </w:rPr>
        <w:t>Tylosin showed</w:t>
      </w:r>
      <w:r w:rsidR="00830EC3" w:rsidRPr="00284374">
        <w:rPr>
          <w:rFonts w:ascii="Times New Roman" w:hAnsi="Times New Roman" w:cs="Times New Roman"/>
          <w:sz w:val="20"/>
        </w:rPr>
        <w:t xml:space="preserve"> a si</w:t>
      </w:r>
      <w:r w:rsidR="008C1872" w:rsidRPr="00284374">
        <w:rPr>
          <w:rFonts w:ascii="Times New Roman" w:hAnsi="Times New Roman" w:cs="Times New Roman"/>
          <w:sz w:val="20"/>
        </w:rPr>
        <w:t>ngle-step resistance</w:t>
      </w:r>
      <w:r w:rsidR="00830EC3" w:rsidRPr="00284374">
        <w:rPr>
          <w:rFonts w:ascii="Times New Roman" w:hAnsi="Times New Roman" w:cs="Times New Roman"/>
          <w:sz w:val="20"/>
        </w:rPr>
        <w:t xml:space="preserve"> pattern, with 16 </w:t>
      </w:r>
      <w:r w:rsidR="00830EC3" w:rsidRPr="00284374">
        <w:rPr>
          <w:rFonts w:ascii="Calibri" w:hAnsi="Calibri" w:cs="Calibri"/>
          <w:sz w:val="20"/>
        </w:rPr>
        <w:t>µ</w:t>
      </w:r>
      <w:r w:rsidR="00830EC3" w:rsidRPr="00284374">
        <w:rPr>
          <w:rFonts w:ascii="Times New Roman" w:hAnsi="Times New Roman" w:cs="Times New Roman"/>
          <w:sz w:val="20"/>
        </w:rPr>
        <w:t>g/ml being the ‘wild type’ cut off or breakpoint, whereas tiamulin shows a 2-step mutation pattern normally, with a ‘wild type’ cut off at 0.5</w:t>
      </w:r>
      <w:r w:rsidR="00830EC3" w:rsidRPr="00284374">
        <w:rPr>
          <w:rFonts w:ascii="Calibri" w:hAnsi="Calibri" w:cs="Calibri"/>
          <w:sz w:val="20"/>
        </w:rPr>
        <w:t>µ</w:t>
      </w:r>
      <w:r w:rsidR="00830EC3" w:rsidRPr="00284374">
        <w:rPr>
          <w:rFonts w:ascii="Times New Roman" w:hAnsi="Times New Roman" w:cs="Times New Roman"/>
          <w:sz w:val="20"/>
        </w:rPr>
        <w:t>/ml and then a first stage mutation to 2.0</w:t>
      </w:r>
      <w:r w:rsidR="00830EC3" w:rsidRPr="00284374">
        <w:rPr>
          <w:rFonts w:ascii="Calibri" w:hAnsi="Calibri" w:cs="Calibri"/>
          <w:sz w:val="20"/>
        </w:rPr>
        <w:t>µ</w:t>
      </w:r>
      <w:r w:rsidR="00830EC3" w:rsidRPr="00284374">
        <w:rPr>
          <w:rFonts w:ascii="Times New Roman" w:hAnsi="Times New Roman" w:cs="Times New Roman"/>
          <w:sz w:val="20"/>
        </w:rPr>
        <w:t>g/ml. In Europe we have found strains with MICs of &gt;4.0</w:t>
      </w:r>
      <w:r w:rsidR="00830EC3" w:rsidRPr="00284374">
        <w:rPr>
          <w:rFonts w:ascii="Calibri" w:hAnsi="Calibri" w:cs="Calibri"/>
          <w:sz w:val="20"/>
        </w:rPr>
        <w:t>µ</w:t>
      </w:r>
      <w:r w:rsidR="00830EC3" w:rsidRPr="00284374">
        <w:rPr>
          <w:rFonts w:ascii="Times New Roman" w:hAnsi="Times New Roman" w:cs="Times New Roman"/>
          <w:sz w:val="20"/>
        </w:rPr>
        <w:t>g/ml (a second mutation), which is considered the resistance breakpoint for tiamulin.</w:t>
      </w:r>
    </w:p>
    <w:p w:rsidR="00035F41" w:rsidRPr="00035F41" w:rsidRDefault="00035F41" w:rsidP="009D0BE7">
      <w:pPr>
        <w:rPr>
          <w:rFonts w:ascii="Times New Roman" w:hAnsi="Times New Roman" w:cs="Times New Roman"/>
          <w:sz w:val="20"/>
        </w:rPr>
      </w:pPr>
    </w:p>
    <w:p w:rsidR="00830EC3" w:rsidRPr="00284374" w:rsidRDefault="00830EC3" w:rsidP="009D0BE7">
      <w:pPr>
        <w:rPr>
          <w:rFonts w:ascii="Times New Roman" w:hAnsi="Times New Roman" w:cs="Times New Roman"/>
          <w:sz w:val="32"/>
          <w:szCs w:val="32"/>
        </w:rPr>
      </w:pPr>
      <w:r w:rsidRPr="00284374">
        <w:rPr>
          <w:rFonts w:ascii="Times New Roman" w:hAnsi="Times New Roman" w:cs="Times New Roman"/>
          <w:sz w:val="32"/>
          <w:szCs w:val="32"/>
        </w:rPr>
        <w:t>Integrating PK with PD</w:t>
      </w:r>
    </w:p>
    <w:p w:rsidR="004B52B1" w:rsidRPr="00284374" w:rsidRDefault="00830EC3" w:rsidP="009D0BE7">
      <w:pPr>
        <w:rPr>
          <w:rFonts w:ascii="Times New Roman" w:hAnsi="Times New Roman" w:cs="Times New Roman"/>
          <w:i/>
          <w:sz w:val="24"/>
        </w:rPr>
      </w:pPr>
      <w:r w:rsidRPr="00284374">
        <w:rPr>
          <w:rFonts w:ascii="Times New Roman" w:hAnsi="Times New Roman" w:cs="Times New Roman"/>
          <w:i/>
          <w:sz w:val="24"/>
        </w:rPr>
        <w:t>Lawsonia intracellularis</w:t>
      </w:r>
    </w:p>
    <w:p w:rsidR="00830EC3" w:rsidRPr="00284374" w:rsidRDefault="00834512" w:rsidP="009D0BE7">
      <w:pPr>
        <w:rPr>
          <w:rFonts w:ascii="Times New Roman" w:hAnsi="Times New Roman" w:cs="Times New Roman"/>
          <w:sz w:val="20"/>
        </w:rPr>
      </w:pPr>
      <w:r w:rsidRPr="00284374">
        <w:rPr>
          <w:rFonts w:ascii="Times New Roman" w:hAnsi="Times New Roman" w:cs="Times New Roman"/>
          <w:sz w:val="20"/>
        </w:rPr>
        <w:t>Using a simple approach the concentration of the drug should be above the MIC of the organism for sufficient time to either inhibit its growth or to kill the organism. The effect the drug has on the bug is dependent on the type of antibiotic, whether it is bacteriost</w:t>
      </w:r>
      <w:r w:rsidR="008C1872" w:rsidRPr="00284374">
        <w:rPr>
          <w:rFonts w:ascii="Times New Roman" w:hAnsi="Times New Roman" w:cs="Times New Roman"/>
          <w:sz w:val="20"/>
        </w:rPr>
        <w:t>atic or bactericidal and the organism itself</w:t>
      </w:r>
      <w:r w:rsidRPr="00284374">
        <w:rPr>
          <w:rFonts w:ascii="Times New Roman" w:hAnsi="Times New Roman" w:cs="Times New Roman"/>
          <w:sz w:val="20"/>
        </w:rPr>
        <w:t xml:space="preserve">. In the case of </w:t>
      </w:r>
      <w:r w:rsidRPr="00284374">
        <w:rPr>
          <w:rFonts w:ascii="Times New Roman" w:hAnsi="Times New Roman" w:cs="Times New Roman"/>
          <w:i/>
          <w:sz w:val="20"/>
        </w:rPr>
        <w:t>L. intracellularis</w:t>
      </w:r>
      <w:r w:rsidRPr="00284374">
        <w:rPr>
          <w:rFonts w:ascii="Times New Roman" w:hAnsi="Times New Roman" w:cs="Times New Roman"/>
          <w:sz w:val="20"/>
        </w:rPr>
        <w:t xml:space="preserve"> the drug needs also to penetrate the cell to exert its antibiotic effect. </w:t>
      </w:r>
    </w:p>
    <w:p w:rsidR="001368A8" w:rsidRDefault="001368A8" w:rsidP="009D0BE7">
      <w:pPr>
        <w:rPr>
          <w:rFonts w:ascii="Times New Roman" w:hAnsi="Times New Roman" w:cs="Times New Roman"/>
        </w:rPr>
      </w:pPr>
    </w:p>
    <w:p w:rsidR="001368A8" w:rsidRDefault="001368A8" w:rsidP="009D0BE7">
      <w:pPr>
        <w:rPr>
          <w:rFonts w:ascii="Times New Roman" w:hAnsi="Times New Roman" w:cs="Times New Roman"/>
          <w:sz w:val="20"/>
        </w:rPr>
      </w:pPr>
      <w:r w:rsidRPr="00284374">
        <w:rPr>
          <w:rFonts w:ascii="Times New Roman" w:hAnsi="Times New Roman" w:cs="Times New Roman"/>
          <w:sz w:val="20"/>
        </w:rPr>
        <w:lastRenderedPageBreak/>
        <w:t>Tiamulin at 38.5ppm would be expected to exert an inhibitory</w:t>
      </w:r>
      <w:r w:rsidR="00284374">
        <w:rPr>
          <w:rFonts w:ascii="Times New Roman" w:hAnsi="Times New Roman" w:cs="Times New Roman"/>
          <w:sz w:val="20"/>
        </w:rPr>
        <w:t xml:space="preserve"> effect (see Figure 3)</w:t>
      </w:r>
      <w:r w:rsidRPr="00284374">
        <w:rPr>
          <w:rFonts w:ascii="Times New Roman" w:hAnsi="Times New Roman" w:cs="Times New Roman"/>
          <w:sz w:val="20"/>
        </w:rPr>
        <w:t xml:space="preserve"> against the majority of </w:t>
      </w:r>
      <w:r w:rsidRPr="00284374">
        <w:rPr>
          <w:rFonts w:ascii="Times New Roman" w:hAnsi="Times New Roman" w:cs="Times New Roman"/>
          <w:i/>
          <w:sz w:val="20"/>
        </w:rPr>
        <w:t>L. intracellularis</w:t>
      </w:r>
      <w:r w:rsidRPr="00284374">
        <w:rPr>
          <w:rFonts w:ascii="Times New Roman" w:hAnsi="Times New Roman" w:cs="Times New Roman"/>
          <w:sz w:val="20"/>
        </w:rPr>
        <w:t xml:space="preserve"> isolates. The iMIC and intracellular minimum bactericidal concentration (iMBC) have not been determined so the </w:t>
      </w:r>
      <w:r w:rsidR="00680E4B" w:rsidRPr="00284374">
        <w:rPr>
          <w:rFonts w:ascii="Times New Roman" w:hAnsi="Times New Roman" w:cs="Times New Roman"/>
          <w:sz w:val="20"/>
        </w:rPr>
        <w:t>i</w:t>
      </w:r>
      <w:r w:rsidRPr="00284374">
        <w:rPr>
          <w:rFonts w:ascii="Times New Roman" w:hAnsi="Times New Roman" w:cs="Times New Roman"/>
          <w:sz w:val="20"/>
        </w:rPr>
        <w:t>MBC: iMIC ratio has not been establish</w:t>
      </w:r>
      <w:r w:rsidR="00284374">
        <w:rPr>
          <w:rFonts w:ascii="Times New Roman" w:hAnsi="Times New Roman" w:cs="Times New Roman"/>
          <w:sz w:val="20"/>
        </w:rPr>
        <w:t>ed. However, a trial</w:t>
      </w:r>
      <w:r w:rsidR="00284374" w:rsidRPr="00284374">
        <w:rPr>
          <w:rFonts w:ascii="Times New Roman" w:hAnsi="Times New Roman" w:cs="Times New Roman"/>
          <w:sz w:val="20"/>
          <w:vertAlign w:val="superscript"/>
        </w:rPr>
        <w:t>11</w:t>
      </w:r>
      <w:r w:rsidRPr="00284374">
        <w:rPr>
          <w:rFonts w:ascii="Times New Roman" w:hAnsi="Times New Roman" w:cs="Times New Roman"/>
          <w:sz w:val="20"/>
        </w:rPr>
        <w:t xml:space="preserve"> showed there was an inhibitory effect when given in the feed at 38.5ppm for 28 days </w:t>
      </w:r>
      <w:r w:rsidR="00680E4B" w:rsidRPr="00284374">
        <w:rPr>
          <w:rFonts w:ascii="Times New Roman" w:hAnsi="Times New Roman" w:cs="Times New Roman"/>
          <w:sz w:val="20"/>
        </w:rPr>
        <w:t xml:space="preserve">to pigs already infected with </w:t>
      </w:r>
      <w:r w:rsidR="00680E4B" w:rsidRPr="00284374">
        <w:rPr>
          <w:rFonts w:ascii="Times New Roman" w:hAnsi="Times New Roman" w:cs="Times New Roman"/>
          <w:i/>
          <w:sz w:val="20"/>
        </w:rPr>
        <w:t>L. intracellularis</w:t>
      </w:r>
      <w:r w:rsidR="00680E4B" w:rsidRPr="00284374">
        <w:rPr>
          <w:rFonts w:ascii="Times New Roman" w:hAnsi="Times New Roman" w:cs="Times New Roman"/>
          <w:sz w:val="20"/>
        </w:rPr>
        <w:t>, with an MIC of 0.25</w:t>
      </w:r>
      <w:r w:rsidR="00680E4B" w:rsidRPr="00284374">
        <w:rPr>
          <w:rFonts w:ascii="Calibri" w:hAnsi="Calibri" w:cs="Calibri"/>
          <w:sz w:val="20"/>
        </w:rPr>
        <w:t>µ</w:t>
      </w:r>
      <w:r w:rsidR="00680E4B" w:rsidRPr="00284374">
        <w:rPr>
          <w:rFonts w:ascii="Times New Roman" w:hAnsi="Times New Roman" w:cs="Times New Roman"/>
          <w:sz w:val="20"/>
        </w:rPr>
        <w:t xml:space="preserve">g/ml. </w:t>
      </w:r>
      <w:r w:rsidR="00284374">
        <w:rPr>
          <w:rFonts w:ascii="Times New Roman" w:hAnsi="Times New Roman" w:cs="Times New Roman"/>
          <w:sz w:val="20"/>
        </w:rPr>
        <w:t>Earlier work</w:t>
      </w:r>
      <w:r w:rsidR="00284374" w:rsidRPr="00284374">
        <w:rPr>
          <w:rFonts w:ascii="Times New Roman" w:hAnsi="Times New Roman" w:cs="Times New Roman"/>
          <w:sz w:val="20"/>
          <w:vertAlign w:val="superscript"/>
        </w:rPr>
        <w:t xml:space="preserve">8 </w:t>
      </w:r>
      <w:r w:rsidR="00680E4B" w:rsidRPr="00284374">
        <w:rPr>
          <w:rFonts w:ascii="Times New Roman" w:hAnsi="Times New Roman" w:cs="Times New Roman"/>
          <w:sz w:val="20"/>
        </w:rPr>
        <w:t xml:space="preserve">showed that 50ppm tiamulin in feed given prior to infection completely prevented the development of lesions caused by a strain of </w:t>
      </w:r>
      <w:r w:rsidR="00680E4B" w:rsidRPr="00284374">
        <w:rPr>
          <w:rFonts w:ascii="Times New Roman" w:hAnsi="Times New Roman" w:cs="Times New Roman"/>
          <w:i/>
          <w:sz w:val="20"/>
        </w:rPr>
        <w:t>L. intracellularis</w:t>
      </w:r>
      <w:r w:rsidR="00680E4B" w:rsidRPr="00284374">
        <w:rPr>
          <w:rFonts w:ascii="Times New Roman" w:hAnsi="Times New Roman" w:cs="Times New Roman"/>
          <w:sz w:val="20"/>
        </w:rPr>
        <w:t xml:space="preserve"> with an iMIC of 0.125</w:t>
      </w:r>
      <w:r w:rsidR="00680E4B" w:rsidRPr="00284374">
        <w:rPr>
          <w:rFonts w:ascii="Calibri" w:hAnsi="Calibri" w:cs="Calibri"/>
          <w:sz w:val="20"/>
        </w:rPr>
        <w:t>µ</w:t>
      </w:r>
      <w:r w:rsidR="00680E4B" w:rsidRPr="00284374">
        <w:rPr>
          <w:rFonts w:ascii="Times New Roman" w:hAnsi="Times New Roman" w:cs="Times New Roman"/>
          <w:sz w:val="20"/>
        </w:rPr>
        <w:t>g/ml. Tiamulin at 150ppm administered to pigs 7 days after infection for 14 days completely eliminated the infection, demonstrating a more bactericidal, eliminatory effect</w:t>
      </w:r>
      <w:r w:rsidR="00284374" w:rsidRPr="00284374">
        <w:rPr>
          <w:rFonts w:ascii="Times New Roman" w:hAnsi="Times New Roman" w:cs="Times New Roman"/>
          <w:sz w:val="20"/>
          <w:vertAlign w:val="superscript"/>
        </w:rPr>
        <w:t>8</w:t>
      </w:r>
      <w:r w:rsidR="00680E4B" w:rsidRPr="00284374">
        <w:rPr>
          <w:rFonts w:ascii="Times New Roman" w:hAnsi="Times New Roman" w:cs="Times New Roman"/>
          <w:sz w:val="20"/>
        </w:rPr>
        <w:t xml:space="preserve"> at </w:t>
      </w:r>
      <w:r w:rsidR="00834267" w:rsidRPr="00284374">
        <w:rPr>
          <w:rFonts w:ascii="Times New Roman" w:hAnsi="Times New Roman" w:cs="Times New Roman"/>
          <w:sz w:val="20"/>
        </w:rPr>
        <w:t xml:space="preserve">ICC concentrations </w:t>
      </w:r>
      <w:r w:rsidR="00680E4B" w:rsidRPr="00284374">
        <w:rPr>
          <w:rFonts w:ascii="Times New Roman" w:hAnsi="Times New Roman" w:cs="Times New Roman"/>
          <w:sz w:val="20"/>
        </w:rPr>
        <w:t>13 times</w:t>
      </w:r>
      <w:r w:rsidR="00834267" w:rsidRPr="00284374">
        <w:rPr>
          <w:rFonts w:ascii="Times New Roman" w:hAnsi="Times New Roman" w:cs="Times New Roman"/>
          <w:sz w:val="20"/>
        </w:rPr>
        <w:t xml:space="preserve"> the iMIC</w:t>
      </w:r>
      <w:r w:rsidR="00680E4B" w:rsidRPr="00284374">
        <w:rPr>
          <w:rFonts w:ascii="Times New Roman" w:hAnsi="Times New Roman" w:cs="Times New Roman"/>
          <w:sz w:val="20"/>
        </w:rPr>
        <w:t>.</w:t>
      </w:r>
    </w:p>
    <w:p w:rsidR="00035F41" w:rsidRDefault="00035F41" w:rsidP="009D0BE7">
      <w:pPr>
        <w:rPr>
          <w:rFonts w:ascii="Times New Roman" w:hAnsi="Times New Roman" w:cs="Times New Roman"/>
          <w:sz w:val="20"/>
        </w:rPr>
      </w:pPr>
    </w:p>
    <w:p w:rsidR="00035F41" w:rsidRPr="00E0379D" w:rsidRDefault="00035F41" w:rsidP="00035F41">
      <w:pPr>
        <w:rPr>
          <w:rFonts w:ascii="Times New Roman" w:hAnsi="Times New Roman" w:cs="Times New Roman"/>
          <w:sz w:val="20"/>
        </w:rPr>
      </w:pPr>
      <w:r w:rsidRPr="00E0379D">
        <w:rPr>
          <w:rFonts w:ascii="Times New Roman" w:hAnsi="Times New Roman" w:cs="Times New Roman"/>
          <w:sz w:val="20"/>
        </w:rPr>
        <w:t xml:space="preserve">Figure 3. Concentration of tiamulin in the ileum contents in relation to the iMIC susceptibility pattern of </w:t>
      </w:r>
      <w:r w:rsidRPr="00E0379D">
        <w:rPr>
          <w:rFonts w:ascii="Times New Roman" w:hAnsi="Times New Roman" w:cs="Times New Roman"/>
          <w:i/>
          <w:sz w:val="20"/>
        </w:rPr>
        <w:t>L. intracellularis</w:t>
      </w:r>
    </w:p>
    <w:p w:rsidR="00035F41" w:rsidRDefault="00035F41" w:rsidP="00035F41">
      <w:pPr>
        <w:rPr>
          <w:rFonts w:ascii="Times New Roman" w:hAnsi="Times New Roman" w:cs="Times New Roman"/>
        </w:rPr>
      </w:pPr>
      <w:r w:rsidRPr="00834512">
        <w:rPr>
          <w:rFonts w:ascii="Times New Roman" w:hAnsi="Times New Roman" w:cs="Times New Roman"/>
          <w:noProof/>
          <w:lang w:eastAsia="en-GB"/>
        </w:rPr>
        <w:drawing>
          <wp:inline distT="0" distB="0" distL="0" distR="0">
            <wp:extent cx="5731510" cy="3601789"/>
            <wp:effectExtent l="19050" t="0" r="21590" b="0"/>
            <wp:docPr id="4"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80E4B" w:rsidRPr="00284374" w:rsidRDefault="00680E4B" w:rsidP="009D0BE7">
      <w:pPr>
        <w:rPr>
          <w:rFonts w:ascii="Times New Roman" w:hAnsi="Times New Roman" w:cs="Times New Roman"/>
          <w:sz w:val="20"/>
        </w:rPr>
      </w:pPr>
    </w:p>
    <w:p w:rsidR="00680E4B" w:rsidRPr="00284374" w:rsidRDefault="00680E4B" w:rsidP="009D0BE7">
      <w:pPr>
        <w:rPr>
          <w:rFonts w:ascii="Times New Roman" w:hAnsi="Times New Roman" w:cs="Times New Roman"/>
          <w:i/>
          <w:sz w:val="24"/>
        </w:rPr>
      </w:pPr>
      <w:r w:rsidRPr="00284374">
        <w:rPr>
          <w:rFonts w:ascii="Times New Roman" w:hAnsi="Times New Roman" w:cs="Times New Roman"/>
          <w:i/>
          <w:sz w:val="24"/>
        </w:rPr>
        <w:t>Brachyspira hyodysenteriae</w:t>
      </w:r>
    </w:p>
    <w:p w:rsidR="00680E4B" w:rsidRPr="00284374" w:rsidRDefault="00834267" w:rsidP="009D0BE7">
      <w:pPr>
        <w:rPr>
          <w:rFonts w:ascii="Times New Roman" w:hAnsi="Times New Roman" w:cs="Times New Roman"/>
          <w:sz w:val="20"/>
        </w:rPr>
      </w:pPr>
      <w:r w:rsidRPr="00284374">
        <w:rPr>
          <w:rFonts w:ascii="Times New Roman" w:hAnsi="Times New Roman" w:cs="Times New Roman"/>
          <w:sz w:val="20"/>
        </w:rPr>
        <w:t xml:space="preserve">With regard to </w:t>
      </w:r>
      <w:r w:rsidRPr="00284374">
        <w:rPr>
          <w:rFonts w:ascii="Times New Roman" w:hAnsi="Times New Roman" w:cs="Times New Roman"/>
          <w:i/>
          <w:sz w:val="20"/>
        </w:rPr>
        <w:t>B. hyodysenteriae</w:t>
      </w:r>
      <w:r w:rsidRPr="00284374">
        <w:rPr>
          <w:rFonts w:ascii="Times New Roman" w:hAnsi="Times New Roman" w:cs="Times New Roman"/>
          <w:sz w:val="20"/>
        </w:rPr>
        <w:t>, the MIC susceptibility pattern can be compared with the CCCs achieved with tiamulin given in feed and in water</w:t>
      </w:r>
      <w:r w:rsidR="00284374">
        <w:rPr>
          <w:rFonts w:ascii="Times New Roman" w:hAnsi="Times New Roman" w:cs="Times New Roman"/>
          <w:sz w:val="20"/>
        </w:rPr>
        <w:t xml:space="preserve"> (see Figure 4)</w:t>
      </w:r>
      <w:r w:rsidRPr="00284374">
        <w:rPr>
          <w:rFonts w:ascii="Times New Roman" w:hAnsi="Times New Roman" w:cs="Times New Roman"/>
          <w:sz w:val="20"/>
        </w:rPr>
        <w:t>.</w:t>
      </w:r>
    </w:p>
    <w:p w:rsidR="00834267" w:rsidRDefault="00834267" w:rsidP="009D0BE7">
      <w:pPr>
        <w:rPr>
          <w:rFonts w:ascii="Times New Roman" w:hAnsi="Times New Roman" w:cs="Times New Roman"/>
        </w:rPr>
      </w:pPr>
    </w:p>
    <w:p w:rsidR="00D12B65" w:rsidRPr="00B00B2D" w:rsidRDefault="00D12B65" w:rsidP="009D0BE7">
      <w:pPr>
        <w:rPr>
          <w:rFonts w:ascii="Times New Roman" w:hAnsi="Times New Roman" w:cs="Times New Roman"/>
          <w:sz w:val="20"/>
        </w:rPr>
      </w:pPr>
      <w:r w:rsidRPr="00B00B2D">
        <w:rPr>
          <w:rFonts w:ascii="Times New Roman" w:hAnsi="Times New Roman" w:cs="Times New Roman"/>
          <w:sz w:val="20"/>
        </w:rPr>
        <w:t>Tiamulin at 38.5ppm in feed can be expected to be inhibitory to most of the ‘wild type’ isolates up to 0.5</w:t>
      </w:r>
      <w:r w:rsidRPr="00B00B2D">
        <w:rPr>
          <w:rFonts w:ascii="Calibri" w:hAnsi="Calibri" w:cs="Calibri"/>
          <w:sz w:val="20"/>
        </w:rPr>
        <w:t>µ</w:t>
      </w:r>
      <w:r w:rsidR="000E6473" w:rsidRPr="00B00B2D">
        <w:rPr>
          <w:rFonts w:ascii="Times New Roman" w:hAnsi="Times New Roman" w:cs="Times New Roman"/>
          <w:sz w:val="20"/>
        </w:rPr>
        <w:t xml:space="preserve">g/ml. </w:t>
      </w:r>
      <w:r w:rsidR="00B00B2D">
        <w:rPr>
          <w:rFonts w:ascii="Times New Roman" w:hAnsi="Times New Roman" w:cs="Times New Roman"/>
          <w:sz w:val="20"/>
        </w:rPr>
        <w:t>A trial</w:t>
      </w:r>
      <w:r w:rsidR="00B00B2D" w:rsidRPr="00B00B2D">
        <w:rPr>
          <w:rFonts w:ascii="Times New Roman" w:hAnsi="Times New Roman" w:cs="Times New Roman"/>
          <w:sz w:val="20"/>
          <w:vertAlign w:val="superscript"/>
        </w:rPr>
        <w:t>9</w:t>
      </w:r>
      <w:r w:rsidR="00B00B2D">
        <w:rPr>
          <w:rFonts w:ascii="Times New Roman" w:hAnsi="Times New Roman" w:cs="Times New Roman"/>
          <w:sz w:val="20"/>
        </w:rPr>
        <w:t xml:space="preserve"> d</w:t>
      </w:r>
      <w:r w:rsidRPr="00B00B2D">
        <w:rPr>
          <w:rFonts w:ascii="Times New Roman" w:hAnsi="Times New Roman" w:cs="Times New Roman"/>
          <w:sz w:val="20"/>
        </w:rPr>
        <w:t xml:space="preserve">emonstrated a complete inhibitory effect at </w:t>
      </w:r>
      <w:r w:rsidR="005755F8" w:rsidRPr="00B00B2D">
        <w:rPr>
          <w:rFonts w:ascii="Times New Roman" w:hAnsi="Times New Roman" w:cs="Times New Roman"/>
          <w:sz w:val="20"/>
        </w:rPr>
        <w:t>25-</w:t>
      </w:r>
      <w:r w:rsidRPr="00B00B2D">
        <w:rPr>
          <w:rFonts w:ascii="Times New Roman" w:hAnsi="Times New Roman" w:cs="Times New Roman"/>
          <w:sz w:val="20"/>
        </w:rPr>
        <w:t xml:space="preserve">40ppm tiamulin in feed against an isolate of </w:t>
      </w:r>
      <w:r w:rsidRPr="00B00B2D">
        <w:rPr>
          <w:rFonts w:ascii="Times New Roman" w:hAnsi="Times New Roman" w:cs="Times New Roman"/>
          <w:i/>
          <w:sz w:val="20"/>
        </w:rPr>
        <w:t>B. hyodysenteriae</w:t>
      </w:r>
      <w:r w:rsidRPr="00B00B2D">
        <w:rPr>
          <w:rFonts w:ascii="Times New Roman" w:hAnsi="Times New Roman" w:cs="Times New Roman"/>
          <w:sz w:val="20"/>
        </w:rPr>
        <w:t xml:space="preserve"> with an MIC of 0.05</w:t>
      </w:r>
      <w:r w:rsidRPr="00B00B2D">
        <w:rPr>
          <w:rFonts w:ascii="Calibri" w:hAnsi="Calibri" w:cs="Calibri"/>
          <w:sz w:val="20"/>
        </w:rPr>
        <w:t>µ</w:t>
      </w:r>
      <w:r w:rsidRPr="00B00B2D">
        <w:rPr>
          <w:rFonts w:ascii="Times New Roman" w:hAnsi="Times New Roman" w:cs="Times New Roman"/>
          <w:sz w:val="20"/>
        </w:rPr>
        <w:t>g/ml. At tiamulin 110 ppm</w:t>
      </w:r>
      <w:r w:rsidR="005755F8" w:rsidRPr="00B00B2D">
        <w:rPr>
          <w:rFonts w:ascii="Times New Roman" w:hAnsi="Times New Roman" w:cs="Times New Roman"/>
          <w:sz w:val="20"/>
        </w:rPr>
        <w:t xml:space="preserve"> in feed</w:t>
      </w:r>
      <w:r w:rsidRPr="00B00B2D">
        <w:rPr>
          <w:rFonts w:ascii="Times New Roman" w:hAnsi="Times New Roman" w:cs="Times New Roman"/>
          <w:sz w:val="20"/>
        </w:rPr>
        <w:t>, a bactericidal effect against ‘wild type’ isolates might be expected as the MBC: MIC ratio i</w:t>
      </w:r>
      <w:r w:rsidR="00E4328C" w:rsidRPr="00B00B2D">
        <w:rPr>
          <w:rFonts w:ascii="Times New Roman" w:hAnsi="Times New Roman" w:cs="Times New Roman"/>
          <w:sz w:val="20"/>
        </w:rPr>
        <w:t>s</w:t>
      </w:r>
      <w:r w:rsidR="004B52B1" w:rsidRPr="00B00B2D">
        <w:rPr>
          <w:rFonts w:ascii="Times New Roman" w:hAnsi="Times New Roman" w:cs="Times New Roman"/>
          <w:sz w:val="20"/>
        </w:rPr>
        <w:t xml:space="preserve"> approximately</w:t>
      </w:r>
      <w:r w:rsidR="00E4328C" w:rsidRPr="00B00B2D">
        <w:rPr>
          <w:rFonts w:ascii="Times New Roman" w:hAnsi="Times New Roman" w:cs="Times New Roman"/>
          <w:sz w:val="20"/>
        </w:rPr>
        <w:t xml:space="preserve"> 2: </w:t>
      </w:r>
      <w:r w:rsidR="00B00B2D">
        <w:rPr>
          <w:rFonts w:ascii="Times New Roman" w:hAnsi="Times New Roman" w:cs="Times New Roman"/>
          <w:sz w:val="20"/>
        </w:rPr>
        <w:t xml:space="preserve">1 </w:t>
      </w:r>
      <w:r w:rsidR="00B00B2D" w:rsidRPr="00B00B2D">
        <w:rPr>
          <w:rFonts w:ascii="Times New Roman" w:hAnsi="Times New Roman" w:cs="Times New Roman"/>
          <w:sz w:val="20"/>
          <w:vertAlign w:val="superscript"/>
        </w:rPr>
        <w:t>2</w:t>
      </w:r>
      <w:r w:rsidR="00B00B2D">
        <w:rPr>
          <w:rFonts w:ascii="Times New Roman" w:hAnsi="Times New Roman" w:cs="Times New Roman"/>
          <w:sz w:val="20"/>
        </w:rPr>
        <w:t xml:space="preserve"> </w:t>
      </w:r>
      <w:r w:rsidRPr="00B00B2D">
        <w:rPr>
          <w:rFonts w:ascii="Times New Roman" w:hAnsi="Times New Roman" w:cs="Times New Roman"/>
          <w:sz w:val="20"/>
        </w:rPr>
        <w:t xml:space="preserve">and an inhibitory effect against </w:t>
      </w:r>
      <w:r w:rsidR="007F12EB" w:rsidRPr="00B00B2D">
        <w:rPr>
          <w:rFonts w:ascii="Times New Roman" w:hAnsi="Times New Roman" w:cs="Times New Roman"/>
          <w:sz w:val="20"/>
        </w:rPr>
        <w:t>the first-st</w:t>
      </w:r>
      <w:r w:rsidR="004B52B1" w:rsidRPr="00B00B2D">
        <w:rPr>
          <w:rFonts w:ascii="Times New Roman" w:hAnsi="Times New Roman" w:cs="Times New Roman"/>
          <w:sz w:val="20"/>
        </w:rPr>
        <w:t>ep mutants. A similar effect could</w:t>
      </w:r>
      <w:r w:rsidR="007F12EB" w:rsidRPr="00B00B2D">
        <w:rPr>
          <w:rFonts w:ascii="Times New Roman" w:hAnsi="Times New Roman" w:cs="Times New Roman"/>
          <w:sz w:val="20"/>
        </w:rPr>
        <w:t xml:space="preserve"> be expected</w:t>
      </w:r>
      <w:r w:rsidR="00B00B2D">
        <w:rPr>
          <w:rFonts w:ascii="Times New Roman" w:hAnsi="Times New Roman" w:cs="Times New Roman"/>
          <w:sz w:val="20"/>
        </w:rPr>
        <w:t xml:space="preserve"> with water medication at 60ppm and</w:t>
      </w:r>
      <w:r w:rsidR="007F12EB" w:rsidRPr="00B00B2D">
        <w:rPr>
          <w:rFonts w:ascii="Times New Roman" w:hAnsi="Times New Roman" w:cs="Times New Roman"/>
          <w:sz w:val="20"/>
        </w:rPr>
        <w:t xml:space="preserve"> a strong bactericidal, eliminatory effect with tiamulin at 60ppm in the water for </w:t>
      </w:r>
      <w:r w:rsidR="005755F8" w:rsidRPr="00B00B2D">
        <w:rPr>
          <w:rFonts w:ascii="Times New Roman" w:hAnsi="Times New Roman" w:cs="Times New Roman"/>
          <w:sz w:val="20"/>
        </w:rPr>
        <w:t>3-</w:t>
      </w:r>
      <w:r w:rsidR="007F12EB" w:rsidRPr="00B00B2D">
        <w:rPr>
          <w:rFonts w:ascii="Times New Roman" w:hAnsi="Times New Roman" w:cs="Times New Roman"/>
          <w:sz w:val="20"/>
        </w:rPr>
        <w:t>5 days against an isolate with an MIC of 0.05</w:t>
      </w:r>
      <w:r w:rsidR="007F12EB" w:rsidRPr="00B00B2D">
        <w:rPr>
          <w:rFonts w:ascii="Calibri" w:hAnsi="Calibri" w:cs="Calibri"/>
          <w:sz w:val="20"/>
        </w:rPr>
        <w:t>µ</w:t>
      </w:r>
      <w:r w:rsidR="007F12EB" w:rsidRPr="00B00B2D">
        <w:rPr>
          <w:rFonts w:ascii="Times New Roman" w:hAnsi="Times New Roman" w:cs="Times New Roman"/>
          <w:sz w:val="20"/>
        </w:rPr>
        <w:t>g/ml</w:t>
      </w:r>
      <w:r w:rsidR="00B00B2D" w:rsidRPr="00B00B2D">
        <w:rPr>
          <w:rFonts w:ascii="Times New Roman" w:hAnsi="Times New Roman" w:cs="Times New Roman"/>
          <w:sz w:val="20"/>
          <w:vertAlign w:val="superscript"/>
        </w:rPr>
        <w:t>9</w:t>
      </w:r>
      <w:r w:rsidR="007F12EB" w:rsidRPr="00B00B2D">
        <w:rPr>
          <w:rFonts w:ascii="Times New Roman" w:hAnsi="Times New Roman" w:cs="Times New Roman"/>
          <w:sz w:val="20"/>
        </w:rPr>
        <w:t xml:space="preserve"> </w:t>
      </w:r>
      <w:r w:rsidR="00190D8D">
        <w:rPr>
          <w:rFonts w:ascii="Times New Roman" w:hAnsi="Times New Roman" w:cs="Times New Roman"/>
          <w:sz w:val="20"/>
        </w:rPr>
        <w:t xml:space="preserve">was shown </w:t>
      </w:r>
      <w:r w:rsidR="007F12EB" w:rsidRPr="00B00B2D">
        <w:rPr>
          <w:rFonts w:ascii="Times New Roman" w:hAnsi="Times New Roman" w:cs="Times New Roman"/>
          <w:sz w:val="20"/>
        </w:rPr>
        <w:t>and at 100</w:t>
      </w:r>
      <w:r w:rsidR="004B52B1" w:rsidRPr="00B00B2D">
        <w:rPr>
          <w:rFonts w:ascii="Times New Roman" w:hAnsi="Times New Roman" w:cs="Times New Roman"/>
          <w:sz w:val="20"/>
        </w:rPr>
        <w:t>ppm and above</w:t>
      </w:r>
      <w:r w:rsidR="007F12EB" w:rsidRPr="00B00B2D">
        <w:rPr>
          <w:rFonts w:ascii="Times New Roman" w:hAnsi="Times New Roman" w:cs="Times New Roman"/>
          <w:sz w:val="20"/>
        </w:rPr>
        <w:t xml:space="preserve"> in feed for </w:t>
      </w:r>
      <w:r w:rsidR="004B52B1" w:rsidRPr="00B00B2D">
        <w:rPr>
          <w:rFonts w:ascii="Times New Roman" w:hAnsi="Times New Roman" w:cs="Times New Roman"/>
          <w:sz w:val="20"/>
        </w:rPr>
        <w:t>7-</w:t>
      </w:r>
      <w:r w:rsidR="007F12EB" w:rsidRPr="00B00B2D">
        <w:rPr>
          <w:rFonts w:ascii="Times New Roman" w:hAnsi="Times New Roman" w:cs="Times New Roman"/>
          <w:sz w:val="20"/>
        </w:rPr>
        <w:t>14 days against an isolate with an MIC of 0.5</w:t>
      </w:r>
      <w:r w:rsidR="007F12EB" w:rsidRPr="00B00B2D">
        <w:rPr>
          <w:rFonts w:ascii="Calibri" w:hAnsi="Calibri" w:cs="Calibri"/>
          <w:sz w:val="20"/>
        </w:rPr>
        <w:t>µ</w:t>
      </w:r>
      <w:r w:rsidR="007F12EB" w:rsidRPr="00B00B2D">
        <w:rPr>
          <w:rFonts w:ascii="Times New Roman" w:hAnsi="Times New Roman" w:cs="Times New Roman"/>
          <w:sz w:val="20"/>
        </w:rPr>
        <w:t>g/ml</w:t>
      </w:r>
      <w:r w:rsidR="00B00B2D" w:rsidRPr="00B00B2D">
        <w:rPr>
          <w:rFonts w:ascii="Times New Roman" w:hAnsi="Times New Roman" w:cs="Times New Roman"/>
          <w:sz w:val="20"/>
          <w:vertAlign w:val="superscript"/>
        </w:rPr>
        <w:t>10</w:t>
      </w:r>
      <w:r w:rsidR="007F12EB" w:rsidRPr="00B00B2D">
        <w:rPr>
          <w:rFonts w:ascii="Times New Roman" w:hAnsi="Times New Roman" w:cs="Times New Roman"/>
          <w:sz w:val="20"/>
        </w:rPr>
        <w:t>. Concentrations of tiamulin in the colon following 220ppm would expect to achieve a bactericidal effect against both wild type and first-step mutants and could be considered to be achieving a mutant prevention concentration, which should limit resistance development.</w:t>
      </w:r>
    </w:p>
    <w:p w:rsidR="007F12EB" w:rsidRDefault="007F12EB" w:rsidP="009D0BE7">
      <w:pPr>
        <w:rPr>
          <w:rFonts w:ascii="Times New Roman" w:hAnsi="Times New Roman" w:cs="Times New Roman"/>
        </w:rPr>
      </w:pPr>
    </w:p>
    <w:p w:rsidR="00035F41" w:rsidRDefault="00035F41" w:rsidP="009D0BE7">
      <w:pPr>
        <w:rPr>
          <w:rFonts w:ascii="Times New Roman" w:hAnsi="Times New Roman" w:cs="Times New Roman"/>
        </w:rPr>
      </w:pPr>
    </w:p>
    <w:p w:rsidR="00035F41" w:rsidRDefault="00035F41" w:rsidP="009D0BE7">
      <w:pPr>
        <w:rPr>
          <w:rFonts w:ascii="Times New Roman" w:hAnsi="Times New Roman" w:cs="Times New Roman"/>
        </w:rPr>
      </w:pPr>
    </w:p>
    <w:p w:rsidR="00035F41" w:rsidRDefault="00035F41" w:rsidP="009D0BE7">
      <w:pPr>
        <w:rPr>
          <w:rFonts w:ascii="Times New Roman" w:hAnsi="Times New Roman" w:cs="Times New Roman"/>
        </w:rPr>
      </w:pPr>
    </w:p>
    <w:p w:rsidR="00035F41" w:rsidRDefault="00035F41" w:rsidP="009D0BE7">
      <w:pPr>
        <w:rPr>
          <w:rFonts w:ascii="Times New Roman" w:hAnsi="Times New Roman" w:cs="Times New Roman"/>
        </w:rPr>
      </w:pPr>
    </w:p>
    <w:p w:rsidR="00035F41" w:rsidRDefault="00035F41" w:rsidP="009D0BE7">
      <w:pPr>
        <w:rPr>
          <w:rFonts w:ascii="Times New Roman" w:hAnsi="Times New Roman" w:cs="Times New Roman"/>
        </w:rPr>
      </w:pPr>
    </w:p>
    <w:p w:rsidR="00035F41" w:rsidRDefault="00035F41" w:rsidP="009D0BE7">
      <w:pPr>
        <w:rPr>
          <w:rFonts w:ascii="Times New Roman" w:hAnsi="Times New Roman" w:cs="Times New Roman"/>
        </w:rPr>
      </w:pPr>
    </w:p>
    <w:p w:rsidR="00035F41" w:rsidRDefault="00035F41" w:rsidP="009D0BE7">
      <w:pPr>
        <w:rPr>
          <w:rFonts w:ascii="Times New Roman" w:hAnsi="Times New Roman" w:cs="Times New Roman"/>
        </w:rPr>
      </w:pPr>
    </w:p>
    <w:p w:rsidR="00035F41" w:rsidRPr="00E0379D" w:rsidRDefault="00035F41" w:rsidP="00035F41">
      <w:pPr>
        <w:rPr>
          <w:rFonts w:ascii="Times New Roman" w:hAnsi="Times New Roman" w:cs="Times New Roman"/>
          <w:sz w:val="20"/>
        </w:rPr>
      </w:pPr>
      <w:r w:rsidRPr="00E0379D">
        <w:rPr>
          <w:rFonts w:ascii="Times New Roman" w:hAnsi="Times New Roman" w:cs="Times New Roman"/>
          <w:sz w:val="20"/>
        </w:rPr>
        <w:lastRenderedPageBreak/>
        <w:t xml:space="preserve">Figure 4. Concentration of tiamulin in the colon contents in relation to the MIC susceptibility pattern of </w:t>
      </w:r>
      <w:r w:rsidRPr="00E0379D">
        <w:rPr>
          <w:rFonts w:ascii="Times New Roman" w:hAnsi="Times New Roman" w:cs="Times New Roman"/>
          <w:i/>
          <w:sz w:val="20"/>
        </w:rPr>
        <w:t>B. hyodysenteriae</w:t>
      </w:r>
    </w:p>
    <w:p w:rsidR="00035F41" w:rsidRDefault="00035F41" w:rsidP="00035F41">
      <w:pPr>
        <w:rPr>
          <w:rFonts w:ascii="Times New Roman" w:hAnsi="Times New Roman" w:cs="Times New Roman"/>
        </w:rPr>
      </w:pPr>
      <w:r w:rsidRPr="00A43D5E">
        <w:rPr>
          <w:rFonts w:ascii="Times New Roman" w:hAnsi="Times New Roman" w:cs="Times New Roman"/>
          <w:noProof/>
          <w:lang w:eastAsia="en-GB"/>
        </w:rPr>
        <w:drawing>
          <wp:inline distT="0" distB="0" distL="0" distR="0">
            <wp:extent cx="5731510" cy="3808375"/>
            <wp:effectExtent l="19050" t="0" r="21590" b="1625"/>
            <wp:docPr id="5"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35F41" w:rsidRDefault="00035F41" w:rsidP="009D0BE7">
      <w:pPr>
        <w:rPr>
          <w:rFonts w:ascii="Times New Roman" w:hAnsi="Times New Roman" w:cs="Times New Roman"/>
        </w:rPr>
      </w:pPr>
    </w:p>
    <w:p w:rsidR="007F12EB" w:rsidRPr="00B00B2D" w:rsidRDefault="007F12EB" w:rsidP="009D0BE7">
      <w:pPr>
        <w:rPr>
          <w:rFonts w:ascii="Times New Roman" w:hAnsi="Times New Roman" w:cs="Times New Roman"/>
          <w:sz w:val="32"/>
          <w:szCs w:val="32"/>
        </w:rPr>
      </w:pPr>
      <w:r w:rsidRPr="00B00B2D">
        <w:rPr>
          <w:rFonts w:ascii="Times New Roman" w:hAnsi="Times New Roman" w:cs="Times New Roman"/>
          <w:sz w:val="32"/>
          <w:szCs w:val="32"/>
        </w:rPr>
        <w:t>Conclusions</w:t>
      </w:r>
    </w:p>
    <w:p w:rsidR="007F12EB" w:rsidRPr="00B00B2D" w:rsidRDefault="00E4328C" w:rsidP="009D0BE7">
      <w:pPr>
        <w:rPr>
          <w:rFonts w:ascii="Times New Roman" w:hAnsi="Times New Roman" w:cs="Times New Roman"/>
          <w:sz w:val="20"/>
        </w:rPr>
      </w:pPr>
      <w:r w:rsidRPr="00B00B2D">
        <w:rPr>
          <w:rFonts w:ascii="Times New Roman" w:hAnsi="Times New Roman" w:cs="Times New Roman"/>
          <w:sz w:val="20"/>
        </w:rPr>
        <w:t>An understanding of the PK and PD relationships can help assist the practitioner to decide</w:t>
      </w:r>
      <w:r w:rsidR="004B52B1" w:rsidRPr="00B00B2D">
        <w:rPr>
          <w:rFonts w:ascii="Times New Roman" w:hAnsi="Times New Roman" w:cs="Times New Roman"/>
          <w:sz w:val="20"/>
        </w:rPr>
        <w:t>,</w:t>
      </w:r>
      <w:r w:rsidRPr="00B00B2D">
        <w:rPr>
          <w:rFonts w:ascii="Times New Roman" w:hAnsi="Times New Roman" w:cs="Times New Roman"/>
          <w:sz w:val="20"/>
        </w:rPr>
        <w:t xml:space="preserve"> which drug to use and at what concentration/dose to achieve the optimum results regarding treatment and in the case of swine dysentery</w:t>
      </w:r>
      <w:r w:rsidR="00A0326D" w:rsidRPr="00B00B2D">
        <w:rPr>
          <w:rFonts w:ascii="Times New Roman" w:hAnsi="Times New Roman" w:cs="Times New Roman"/>
          <w:sz w:val="20"/>
        </w:rPr>
        <w:t>,</w:t>
      </w:r>
      <w:r w:rsidRPr="00B00B2D">
        <w:rPr>
          <w:rFonts w:ascii="Times New Roman" w:hAnsi="Times New Roman" w:cs="Times New Roman"/>
          <w:sz w:val="20"/>
        </w:rPr>
        <w:t xml:space="preserve"> even eradication.</w:t>
      </w:r>
      <w:r w:rsidR="00A0326D" w:rsidRPr="00B00B2D">
        <w:rPr>
          <w:rFonts w:ascii="Times New Roman" w:hAnsi="Times New Roman" w:cs="Times New Roman"/>
          <w:sz w:val="20"/>
        </w:rPr>
        <w:t xml:space="preserve"> It is just possible, with the use of mutant prevention concentrations of tiamulin, that resistance development can be slowed or even halted.</w:t>
      </w:r>
    </w:p>
    <w:p w:rsidR="00A0326D" w:rsidRPr="00B00B2D" w:rsidRDefault="00A0326D" w:rsidP="009D0BE7">
      <w:pPr>
        <w:rPr>
          <w:rFonts w:ascii="Times New Roman" w:hAnsi="Times New Roman" w:cs="Times New Roman"/>
          <w:sz w:val="20"/>
        </w:rPr>
      </w:pPr>
    </w:p>
    <w:p w:rsidR="00A0326D" w:rsidRPr="00B00B2D" w:rsidRDefault="00A0326D" w:rsidP="009D0BE7">
      <w:pPr>
        <w:rPr>
          <w:rFonts w:ascii="Times New Roman" w:hAnsi="Times New Roman" w:cs="Times New Roman"/>
          <w:sz w:val="20"/>
        </w:rPr>
      </w:pPr>
      <w:r w:rsidRPr="00B00B2D">
        <w:rPr>
          <w:rFonts w:ascii="Times New Roman" w:hAnsi="Times New Roman" w:cs="Times New Roman"/>
          <w:sz w:val="20"/>
        </w:rPr>
        <w:t>Regarding ileitis, it would appear that some isolates are demonstrating reduced susceptibility even possible resistance to some antibiotics, so again care in selection of the right antibiotic, at the right dose to get a good and quick response is increasingly important.</w:t>
      </w:r>
    </w:p>
    <w:p w:rsidR="00A0326D" w:rsidRDefault="00A0326D" w:rsidP="009D0BE7">
      <w:pPr>
        <w:rPr>
          <w:rFonts w:ascii="Times New Roman" w:hAnsi="Times New Roman" w:cs="Times New Roman"/>
        </w:rPr>
      </w:pPr>
    </w:p>
    <w:p w:rsidR="00BC3866" w:rsidRPr="00B00B2D" w:rsidRDefault="007F12EB" w:rsidP="009D0BE7">
      <w:pPr>
        <w:rPr>
          <w:rFonts w:ascii="Times New Roman" w:hAnsi="Times New Roman" w:cs="Times New Roman"/>
          <w:sz w:val="32"/>
          <w:szCs w:val="32"/>
        </w:rPr>
      </w:pPr>
      <w:r w:rsidRPr="00B00B2D">
        <w:rPr>
          <w:rFonts w:ascii="Times New Roman" w:hAnsi="Times New Roman" w:cs="Times New Roman"/>
          <w:sz w:val="32"/>
          <w:szCs w:val="32"/>
        </w:rPr>
        <w:t>References</w:t>
      </w:r>
    </w:p>
    <w:p w:rsidR="00A0326D" w:rsidRPr="00B00B2D" w:rsidRDefault="00CF5DB0" w:rsidP="00A0326D">
      <w:pPr>
        <w:rPr>
          <w:rFonts w:ascii="Times New Roman" w:hAnsi="Times New Roman" w:cs="Times New Roman"/>
          <w:sz w:val="20"/>
          <w:szCs w:val="24"/>
        </w:rPr>
      </w:pPr>
      <w:r>
        <w:rPr>
          <w:rFonts w:ascii="Times New Roman" w:eastAsia="Calibri" w:hAnsi="Times New Roman" w:cs="Times New Roman"/>
          <w:sz w:val="20"/>
          <w:szCs w:val="24"/>
        </w:rPr>
        <w:t xml:space="preserve">1. </w:t>
      </w:r>
      <w:r w:rsidR="00A0326D" w:rsidRPr="00B00B2D">
        <w:rPr>
          <w:rFonts w:ascii="Times New Roman" w:eastAsia="Calibri" w:hAnsi="Times New Roman" w:cs="Times New Roman"/>
          <w:sz w:val="20"/>
          <w:szCs w:val="24"/>
        </w:rPr>
        <w:t>Anderson, M.D., Stroh, S.L. and Rogers, S. (1994) Tiamulin (Denagard ®) activity in certain swine tissues following oral and intramuscular</w:t>
      </w:r>
      <w:r w:rsidR="00B00B2D">
        <w:rPr>
          <w:rFonts w:ascii="Times New Roman" w:eastAsia="Calibri" w:hAnsi="Times New Roman" w:cs="Times New Roman"/>
          <w:sz w:val="20"/>
          <w:szCs w:val="24"/>
        </w:rPr>
        <w:t>. Proceedings AASP meeting</w:t>
      </w:r>
      <w:r w:rsidR="00A0326D" w:rsidRPr="00B00B2D">
        <w:rPr>
          <w:rFonts w:ascii="Times New Roman" w:eastAsia="Calibri" w:hAnsi="Times New Roman" w:cs="Times New Roman"/>
          <w:sz w:val="20"/>
          <w:szCs w:val="24"/>
        </w:rPr>
        <w:t>, Chicago, Illinois, USA, pp115-118</w:t>
      </w:r>
      <w:r w:rsidR="00A0326D" w:rsidRPr="00B00B2D">
        <w:rPr>
          <w:rFonts w:ascii="Times New Roman" w:hAnsi="Times New Roman" w:cs="Times New Roman"/>
          <w:sz w:val="20"/>
          <w:szCs w:val="24"/>
        </w:rPr>
        <w:t>.</w:t>
      </w:r>
    </w:p>
    <w:p w:rsidR="00BC3866" w:rsidRPr="00B00B2D" w:rsidRDefault="00BC3866" w:rsidP="00A0326D">
      <w:pPr>
        <w:rPr>
          <w:rFonts w:ascii="Times New Roman" w:hAnsi="Times New Roman" w:cs="Times New Roman"/>
          <w:sz w:val="20"/>
          <w:szCs w:val="24"/>
        </w:rPr>
      </w:pPr>
    </w:p>
    <w:p w:rsidR="00BC3866" w:rsidRDefault="00CF5DB0" w:rsidP="00BC3866">
      <w:pPr>
        <w:rPr>
          <w:rFonts w:ascii="Times New Roman" w:hAnsi="Times New Roman" w:cs="Times New Roman"/>
          <w:sz w:val="20"/>
          <w:szCs w:val="24"/>
        </w:rPr>
      </w:pPr>
      <w:r>
        <w:rPr>
          <w:rFonts w:ascii="Times New Roman" w:hAnsi="Times New Roman" w:cs="Times New Roman"/>
          <w:sz w:val="20"/>
          <w:szCs w:val="24"/>
        </w:rPr>
        <w:t xml:space="preserve">2. </w:t>
      </w:r>
      <w:r w:rsidR="00BC3866" w:rsidRPr="00B00B2D">
        <w:rPr>
          <w:rFonts w:ascii="Times New Roman" w:hAnsi="Times New Roman" w:cs="Times New Roman"/>
          <w:sz w:val="20"/>
          <w:szCs w:val="24"/>
        </w:rPr>
        <w:t xml:space="preserve">Buller, N.B. and Hampson, D.J. (1994) Antimicrobial susceptibility testing of </w:t>
      </w:r>
      <w:r w:rsidR="00BC3866" w:rsidRPr="00B00B2D">
        <w:rPr>
          <w:rFonts w:ascii="Times New Roman" w:hAnsi="Times New Roman" w:cs="Times New Roman"/>
          <w:i/>
          <w:sz w:val="20"/>
          <w:szCs w:val="24"/>
        </w:rPr>
        <w:t>Serpulina hyodysenteriae</w:t>
      </w:r>
      <w:r w:rsidR="00BC3866" w:rsidRPr="00B00B2D">
        <w:rPr>
          <w:rFonts w:ascii="Times New Roman" w:hAnsi="Times New Roman" w:cs="Times New Roman"/>
          <w:sz w:val="20"/>
          <w:szCs w:val="24"/>
        </w:rPr>
        <w:t>. Australian Veterinary Journal, 71, 7, 211-214.</w:t>
      </w:r>
    </w:p>
    <w:p w:rsidR="00A0326D" w:rsidRPr="00B00B2D" w:rsidRDefault="00A0326D" w:rsidP="009D0BE7">
      <w:pPr>
        <w:rPr>
          <w:rFonts w:ascii="Times New Roman" w:hAnsi="Times New Roman" w:cs="Times New Roman"/>
          <w:b/>
          <w:sz w:val="18"/>
        </w:rPr>
      </w:pPr>
    </w:p>
    <w:p w:rsidR="00A0326D" w:rsidRPr="00B00B2D" w:rsidRDefault="00CF5DB0" w:rsidP="00A0326D">
      <w:pPr>
        <w:rPr>
          <w:rFonts w:ascii="Times New Roman" w:hAnsi="Times New Roman" w:cs="Times New Roman"/>
          <w:sz w:val="20"/>
          <w:szCs w:val="24"/>
        </w:rPr>
      </w:pPr>
      <w:r>
        <w:rPr>
          <w:rFonts w:ascii="Times New Roman" w:hAnsi="Times New Roman" w:cs="Times New Roman"/>
          <w:sz w:val="20"/>
          <w:szCs w:val="24"/>
        </w:rPr>
        <w:t xml:space="preserve">3. </w:t>
      </w:r>
      <w:r w:rsidR="00BC3866" w:rsidRPr="00B00B2D">
        <w:rPr>
          <w:rFonts w:ascii="Times New Roman" w:hAnsi="Times New Roman" w:cs="Times New Roman"/>
          <w:sz w:val="20"/>
          <w:szCs w:val="24"/>
        </w:rPr>
        <w:t>Burch, D.G.S. (2005</w:t>
      </w:r>
      <w:r w:rsidR="00A0326D" w:rsidRPr="00B00B2D">
        <w:rPr>
          <w:rFonts w:ascii="Times New Roman" w:hAnsi="Times New Roman" w:cs="Times New Roman"/>
          <w:sz w:val="20"/>
          <w:szCs w:val="24"/>
        </w:rPr>
        <w:t xml:space="preserve">) Pharmacokinetic, pharmacodynamic and clinical correlations relating to the therapy of </w:t>
      </w:r>
      <w:r w:rsidR="00A0326D" w:rsidRPr="00B00B2D">
        <w:rPr>
          <w:rFonts w:ascii="Times New Roman" w:hAnsi="Times New Roman" w:cs="Times New Roman"/>
          <w:i/>
          <w:sz w:val="20"/>
          <w:szCs w:val="24"/>
        </w:rPr>
        <w:t>Lawsonia intracellularis</w:t>
      </w:r>
      <w:r w:rsidR="00A0326D" w:rsidRPr="00B00B2D">
        <w:rPr>
          <w:rFonts w:ascii="Times New Roman" w:hAnsi="Times New Roman" w:cs="Times New Roman"/>
          <w:sz w:val="20"/>
          <w:szCs w:val="24"/>
        </w:rPr>
        <w:t xml:space="preserve"> infections, the cause of porcine proliferative enteropathy (‘ileitis’) in the pig. </w:t>
      </w:r>
      <w:r w:rsidR="00A0326D" w:rsidRPr="00B00B2D">
        <w:rPr>
          <w:rFonts w:ascii="Times New Roman" w:hAnsi="Times New Roman" w:cs="Times New Roman"/>
          <w:i/>
          <w:sz w:val="20"/>
          <w:szCs w:val="24"/>
        </w:rPr>
        <w:t>Pig Journal</w:t>
      </w:r>
      <w:r w:rsidR="00A0326D" w:rsidRPr="00B00B2D">
        <w:rPr>
          <w:rFonts w:ascii="Times New Roman" w:hAnsi="Times New Roman" w:cs="Times New Roman"/>
          <w:sz w:val="20"/>
          <w:szCs w:val="24"/>
        </w:rPr>
        <w:t>, 56, 25-44.</w:t>
      </w:r>
    </w:p>
    <w:p w:rsidR="001E2F8D" w:rsidRPr="00B00B2D" w:rsidRDefault="001E2F8D" w:rsidP="00A0326D">
      <w:pPr>
        <w:rPr>
          <w:rFonts w:ascii="Times New Roman" w:hAnsi="Times New Roman" w:cs="Times New Roman"/>
          <w:sz w:val="20"/>
          <w:szCs w:val="24"/>
        </w:rPr>
      </w:pPr>
    </w:p>
    <w:p w:rsidR="001E2F8D" w:rsidRPr="00B00B2D" w:rsidRDefault="00CF5DB0" w:rsidP="00A0326D">
      <w:pPr>
        <w:rPr>
          <w:rFonts w:ascii="Times New Roman" w:hAnsi="Times New Roman" w:cs="Times New Roman"/>
          <w:sz w:val="20"/>
          <w:szCs w:val="24"/>
        </w:rPr>
      </w:pPr>
      <w:r>
        <w:rPr>
          <w:rFonts w:ascii="Times New Roman" w:hAnsi="Times New Roman" w:cs="Times New Roman"/>
          <w:sz w:val="20"/>
          <w:szCs w:val="24"/>
        </w:rPr>
        <w:t xml:space="preserve">4. </w:t>
      </w:r>
      <w:r w:rsidR="001E2F8D" w:rsidRPr="00B00B2D">
        <w:rPr>
          <w:rFonts w:ascii="Times New Roman" w:hAnsi="Times New Roman" w:cs="Times New Roman"/>
          <w:sz w:val="20"/>
          <w:szCs w:val="24"/>
        </w:rPr>
        <w:t>Harding, J.,</w:t>
      </w:r>
      <w:r w:rsidR="00035F41">
        <w:rPr>
          <w:rFonts w:ascii="Times New Roman" w:hAnsi="Times New Roman" w:cs="Times New Roman"/>
          <w:sz w:val="20"/>
          <w:szCs w:val="24"/>
        </w:rPr>
        <w:t xml:space="preserve"> </w:t>
      </w:r>
      <w:r w:rsidR="001E2F8D" w:rsidRPr="00B00B2D">
        <w:rPr>
          <w:rFonts w:ascii="Times New Roman" w:hAnsi="Times New Roman" w:cs="Times New Roman"/>
          <w:sz w:val="20"/>
          <w:szCs w:val="24"/>
        </w:rPr>
        <w:t xml:space="preserve">Chirino-Trejo, M., Fernando, C., Jacobson, M., Forster, Z. and Hill, J.E. (2010) Detection of a novel </w:t>
      </w:r>
      <w:r w:rsidR="001E2F8D" w:rsidRPr="00B00B2D">
        <w:rPr>
          <w:rFonts w:ascii="Times New Roman" w:hAnsi="Times New Roman" w:cs="Times New Roman"/>
          <w:i/>
          <w:sz w:val="20"/>
          <w:szCs w:val="24"/>
        </w:rPr>
        <w:t>Brachyspira</w:t>
      </w:r>
      <w:r w:rsidR="001E2F8D" w:rsidRPr="00B00B2D">
        <w:rPr>
          <w:rFonts w:ascii="Times New Roman" w:hAnsi="Times New Roman" w:cs="Times New Roman"/>
          <w:sz w:val="20"/>
          <w:szCs w:val="24"/>
        </w:rPr>
        <w:t xml:space="preserve"> species associated with haemorrhage and necrotizing colitis. Proceedings of the 21</w:t>
      </w:r>
      <w:r w:rsidR="001E2F8D" w:rsidRPr="00B00B2D">
        <w:rPr>
          <w:rFonts w:ascii="Times New Roman" w:hAnsi="Times New Roman" w:cs="Times New Roman"/>
          <w:sz w:val="20"/>
          <w:szCs w:val="24"/>
          <w:vertAlign w:val="superscript"/>
        </w:rPr>
        <w:t>st</w:t>
      </w:r>
      <w:r w:rsidR="00B00B2D">
        <w:rPr>
          <w:rFonts w:ascii="Times New Roman" w:hAnsi="Times New Roman" w:cs="Times New Roman"/>
          <w:sz w:val="20"/>
          <w:szCs w:val="24"/>
        </w:rPr>
        <w:t xml:space="preserve"> IPVS</w:t>
      </w:r>
      <w:r w:rsidR="001E2F8D" w:rsidRPr="00B00B2D">
        <w:rPr>
          <w:rFonts w:ascii="Times New Roman" w:hAnsi="Times New Roman" w:cs="Times New Roman"/>
          <w:sz w:val="20"/>
          <w:szCs w:val="24"/>
        </w:rPr>
        <w:t xml:space="preserve"> Congress, vol 2, p740.</w:t>
      </w:r>
    </w:p>
    <w:p w:rsidR="00A0326D" w:rsidRPr="00B00B2D" w:rsidRDefault="00A0326D" w:rsidP="009D0BE7">
      <w:pPr>
        <w:rPr>
          <w:rFonts w:ascii="Times New Roman" w:hAnsi="Times New Roman" w:cs="Times New Roman"/>
          <w:sz w:val="18"/>
        </w:rPr>
      </w:pPr>
    </w:p>
    <w:p w:rsidR="00BC3866" w:rsidRPr="00B00B2D" w:rsidRDefault="00CF5DB0" w:rsidP="00BC3866">
      <w:pPr>
        <w:pStyle w:val="Line1"/>
        <w:spacing w:before="0" w:after="0"/>
        <w:rPr>
          <w:rFonts w:ascii="Times New Roman" w:hAnsi="Times New Roman"/>
          <w:b w:val="0"/>
          <w:bCs/>
          <w:sz w:val="20"/>
          <w:szCs w:val="24"/>
        </w:rPr>
      </w:pPr>
      <w:r>
        <w:rPr>
          <w:rStyle w:val="PageNumber"/>
          <w:rFonts w:ascii="Times New Roman" w:hAnsi="Times New Roman"/>
          <w:b w:val="0"/>
          <w:sz w:val="20"/>
        </w:rPr>
        <w:t xml:space="preserve">5. </w:t>
      </w:r>
      <w:r w:rsidR="00BC3866" w:rsidRPr="00B00B2D">
        <w:rPr>
          <w:rStyle w:val="PageNumber"/>
          <w:rFonts w:ascii="Times New Roman" w:hAnsi="Times New Roman"/>
          <w:b w:val="0"/>
          <w:sz w:val="20"/>
        </w:rPr>
        <w:t xml:space="preserve">Karlsson, M., Oxberry, S.L. and Hampson, D.J. (2002) </w:t>
      </w:r>
      <w:r w:rsidR="00BC3866" w:rsidRPr="00B00B2D">
        <w:rPr>
          <w:rFonts w:ascii="Times New Roman" w:hAnsi="Times New Roman"/>
          <w:b w:val="0"/>
          <w:sz w:val="20"/>
        </w:rPr>
        <w:t xml:space="preserve">Antimicrobial susceptibility testing of Australian isolates of </w:t>
      </w:r>
      <w:r w:rsidR="00BC3866" w:rsidRPr="00B00B2D">
        <w:rPr>
          <w:rFonts w:ascii="Times New Roman" w:hAnsi="Times New Roman"/>
          <w:b w:val="0"/>
          <w:i/>
          <w:sz w:val="20"/>
        </w:rPr>
        <w:t>Brachyspira hyodysenteriae</w:t>
      </w:r>
      <w:r w:rsidR="00BC3866" w:rsidRPr="00B00B2D">
        <w:rPr>
          <w:rFonts w:ascii="Times New Roman" w:hAnsi="Times New Roman"/>
          <w:b w:val="0"/>
          <w:sz w:val="20"/>
        </w:rPr>
        <w:t xml:space="preserve"> using a new broth dilution method. </w:t>
      </w:r>
      <w:r w:rsidR="00BC3866" w:rsidRPr="00B00B2D">
        <w:rPr>
          <w:rFonts w:ascii="Times New Roman" w:hAnsi="Times New Roman"/>
          <w:b w:val="0"/>
          <w:bCs/>
          <w:i/>
          <w:sz w:val="20"/>
          <w:szCs w:val="24"/>
        </w:rPr>
        <w:t>Veterinary Microbiology</w:t>
      </w:r>
      <w:r w:rsidR="00BC3866" w:rsidRPr="00B00B2D">
        <w:rPr>
          <w:rFonts w:ascii="Times New Roman" w:hAnsi="Times New Roman"/>
          <w:b w:val="0"/>
          <w:bCs/>
          <w:sz w:val="20"/>
          <w:szCs w:val="24"/>
        </w:rPr>
        <w:t>, 84, 123-133.</w:t>
      </w:r>
    </w:p>
    <w:p w:rsidR="00BC3866" w:rsidRPr="00B00B2D" w:rsidRDefault="00BC3866" w:rsidP="009D0BE7">
      <w:pPr>
        <w:rPr>
          <w:rFonts w:ascii="Times New Roman" w:hAnsi="Times New Roman" w:cs="Times New Roman"/>
          <w:sz w:val="18"/>
        </w:rPr>
      </w:pPr>
    </w:p>
    <w:p w:rsidR="00BC3866" w:rsidRPr="00B00B2D" w:rsidRDefault="00CF5DB0" w:rsidP="00BC3866">
      <w:pPr>
        <w:rPr>
          <w:rFonts w:ascii="Times New Roman" w:hAnsi="Times New Roman" w:cs="Times New Roman"/>
          <w:sz w:val="20"/>
          <w:szCs w:val="24"/>
        </w:rPr>
      </w:pPr>
      <w:r>
        <w:rPr>
          <w:rFonts w:ascii="Times New Roman" w:hAnsi="Times New Roman" w:cs="Times New Roman"/>
          <w:sz w:val="20"/>
          <w:szCs w:val="24"/>
        </w:rPr>
        <w:lastRenderedPageBreak/>
        <w:t xml:space="preserve">6. </w:t>
      </w:r>
      <w:r w:rsidR="00BC3866" w:rsidRPr="00B00B2D">
        <w:rPr>
          <w:rFonts w:ascii="Times New Roman" w:hAnsi="Times New Roman" w:cs="Times New Roman"/>
          <w:sz w:val="20"/>
          <w:szCs w:val="24"/>
        </w:rPr>
        <w:t xml:space="preserve">McOrist, S., Mackie, R.A. and Lawson, G.H.K. (1995) Antimicrobial susceptibility of Ileal Symbiont intracellularis isolated from pigs with Proliferative Enteropathy. </w:t>
      </w:r>
      <w:r w:rsidR="00BC3866" w:rsidRPr="00B00B2D">
        <w:rPr>
          <w:rFonts w:ascii="Times New Roman" w:hAnsi="Times New Roman" w:cs="Times New Roman"/>
          <w:i/>
          <w:sz w:val="20"/>
          <w:szCs w:val="24"/>
        </w:rPr>
        <w:t>Journal of Clinical Microbiology</w:t>
      </w:r>
      <w:r w:rsidR="00BC3866" w:rsidRPr="00B00B2D">
        <w:rPr>
          <w:rFonts w:ascii="Times New Roman" w:hAnsi="Times New Roman" w:cs="Times New Roman"/>
          <w:sz w:val="20"/>
          <w:szCs w:val="24"/>
        </w:rPr>
        <w:t>, 33, 5, 1314-1317.</w:t>
      </w:r>
    </w:p>
    <w:p w:rsidR="00BC3866" w:rsidRPr="00B00B2D" w:rsidRDefault="00BC3866" w:rsidP="00BC3866">
      <w:pPr>
        <w:ind w:left="360" w:hanging="360"/>
        <w:rPr>
          <w:rFonts w:ascii="Times New Roman" w:hAnsi="Times New Roman" w:cs="Times New Roman"/>
          <w:sz w:val="20"/>
          <w:szCs w:val="24"/>
        </w:rPr>
      </w:pPr>
    </w:p>
    <w:p w:rsidR="00BC3866" w:rsidRPr="00B00B2D" w:rsidRDefault="00CF5DB0" w:rsidP="00BC3866">
      <w:pPr>
        <w:rPr>
          <w:rFonts w:ascii="Times New Roman" w:hAnsi="Times New Roman" w:cs="Times New Roman"/>
          <w:sz w:val="20"/>
          <w:szCs w:val="24"/>
        </w:rPr>
      </w:pPr>
      <w:r>
        <w:rPr>
          <w:rFonts w:ascii="Times New Roman" w:hAnsi="Times New Roman" w:cs="Times New Roman"/>
          <w:sz w:val="20"/>
          <w:szCs w:val="24"/>
        </w:rPr>
        <w:t xml:space="preserve">7. </w:t>
      </w:r>
      <w:r w:rsidR="00BC3866" w:rsidRPr="00B00B2D">
        <w:rPr>
          <w:rFonts w:ascii="Times New Roman" w:hAnsi="Times New Roman" w:cs="Times New Roman"/>
          <w:sz w:val="20"/>
          <w:szCs w:val="24"/>
        </w:rPr>
        <w:t>McOrist, S. and Gebhart, C.J. (1995) In vitro testi</w:t>
      </w:r>
      <w:r w:rsidR="004B52B1" w:rsidRPr="00B00B2D">
        <w:rPr>
          <w:rFonts w:ascii="Times New Roman" w:hAnsi="Times New Roman" w:cs="Times New Roman"/>
          <w:sz w:val="20"/>
          <w:szCs w:val="24"/>
        </w:rPr>
        <w:t>ng of antimicrobial agents for proliferative e</w:t>
      </w:r>
      <w:r w:rsidR="00BC3866" w:rsidRPr="00B00B2D">
        <w:rPr>
          <w:rFonts w:ascii="Times New Roman" w:hAnsi="Times New Roman" w:cs="Times New Roman"/>
          <w:sz w:val="20"/>
          <w:szCs w:val="24"/>
        </w:rPr>
        <w:t xml:space="preserve">nteropathy (ileitis). </w:t>
      </w:r>
      <w:r w:rsidR="00B00B2D" w:rsidRPr="00B00B2D">
        <w:rPr>
          <w:rFonts w:ascii="Times New Roman" w:hAnsi="Times New Roman" w:cs="Times New Roman"/>
          <w:i/>
          <w:sz w:val="20"/>
          <w:szCs w:val="24"/>
        </w:rPr>
        <w:t>J.</w:t>
      </w:r>
      <w:r w:rsidR="00B00B2D">
        <w:rPr>
          <w:rFonts w:ascii="Times New Roman" w:hAnsi="Times New Roman" w:cs="Times New Roman"/>
          <w:sz w:val="20"/>
          <w:szCs w:val="24"/>
        </w:rPr>
        <w:t xml:space="preserve"> </w:t>
      </w:r>
      <w:r w:rsidR="00BC3866" w:rsidRPr="00B00B2D">
        <w:rPr>
          <w:rFonts w:ascii="Times New Roman" w:hAnsi="Times New Roman" w:cs="Times New Roman"/>
          <w:i/>
          <w:sz w:val="20"/>
          <w:szCs w:val="24"/>
        </w:rPr>
        <w:t>Swine Health and Production</w:t>
      </w:r>
      <w:r w:rsidR="00BC3866" w:rsidRPr="00B00B2D">
        <w:rPr>
          <w:rFonts w:ascii="Times New Roman" w:hAnsi="Times New Roman" w:cs="Times New Roman"/>
          <w:sz w:val="20"/>
          <w:szCs w:val="24"/>
        </w:rPr>
        <w:t>, 3, 4, 146-149.</w:t>
      </w:r>
    </w:p>
    <w:p w:rsidR="00BC3866" w:rsidRPr="00B00B2D" w:rsidRDefault="00BC3866" w:rsidP="00BC3866">
      <w:pPr>
        <w:rPr>
          <w:rFonts w:ascii="Times New Roman" w:hAnsi="Times New Roman" w:cs="Times New Roman"/>
          <w:sz w:val="20"/>
          <w:szCs w:val="24"/>
        </w:rPr>
      </w:pPr>
    </w:p>
    <w:p w:rsidR="00BC3866" w:rsidRPr="00B00B2D" w:rsidRDefault="00CF5DB0" w:rsidP="00BC3866">
      <w:pPr>
        <w:rPr>
          <w:rFonts w:ascii="Times New Roman" w:hAnsi="Times New Roman" w:cs="Times New Roman"/>
          <w:sz w:val="20"/>
          <w:szCs w:val="24"/>
        </w:rPr>
      </w:pPr>
      <w:r>
        <w:rPr>
          <w:rFonts w:ascii="Times New Roman" w:hAnsi="Times New Roman" w:cs="Times New Roman"/>
          <w:sz w:val="20"/>
          <w:szCs w:val="24"/>
        </w:rPr>
        <w:t xml:space="preserve">8. </w:t>
      </w:r>
      <w:r w:rsidR="00BC3866" w:rsidRPr="00B00B2D">
        <w:rPr>
          <w:rFonts w:ascii="Times New Roman" w:hAnsi="Times New Roman" w:cs="Times New Roman"/>
          <w:sz w:val="20"/>
          <w:szCs w:val="24"/>
        </w:rPr>
        <w:t>McOrist, S., Smith, S.H., Shearn</w:t>
      </w:r>
      <w:r w:rsidR="00ED27AF" w:rsidRPr="00B00B2D">
        <w:rPr>
          <w:rFonts w:ascii="Times New Roman" w:hAnsi="Times New Roman" w:cs="Times New Roman"/>
          <w:sz w:val="20"/>
          <w:szCs w:val="24"/>
        </w:rPr>
        <w:t xml:space="preserve">, M.F.H., Carr, M.M. and Miller, D.J.S. (1996) Treatment and prevention of porcine proliferative enteropathy with oral tiamulin. </w:t>
      </w:r>
      <w:r w:rsidR="00ED27AF" w:rsidRPr="00B00B2D">
        <w:rPr>
          <w:rFonts w:ascii="Times New Roman" w:hAnsi="Times New Roman" w:cs="Times New Roman"/>
          <w:i/>
          <w:sz w:val="20"/>
          <w:szCs w:val="24"/>
        </w:rPr>
        <w:t>Veterinary Record</w:t>
      </w:r>
      <w:r w:rsidR="00ED27AF" w:rsidRPr="00B00B2D">
        <w:rPr>
          <w:rFonts w:ascii="Times New Roman" w:hAnsi="Times New Roman" w:cs="Times New Roman"/>
          <w:sz w:val="20"/>
          <w:szCs w:val="24"/>
        </w:rPr>
        <w:t>, 139, 615-618.</w:t>
      </w:r>
    </w:p>
    <w:p w:rsidR="00ED27AF" w:rsidRPr="00B00B2D" w:rsidRDefault="00ED27AF" w:rsidP="00BC3866">
      <w:pPr>
        <w:rPr>
          <w:rFonts w:ascii="Times New Roman" w:hAnsi="Times New Roman" w:cs="Times New Roman"/>
          <w:sz w:val="20"/>
          <w:szCs w:val="24"/>
        </w:rPr>
      </w:pPr>
    </w:p>
    <w:p w:rsidR="00ED27AF" w:rsidRPr="00B00B2D" w:rsidRDefault="00CF5DB0" w:rsidP="00BC3866">
      <w:pPr>
        <w:rPr>
          <w:rFonts w:ascii="Times New Roman" w:hAnsi="Times New Roman" w:cs="Times New Roman"/>
          <w:sz w:val="20"/>
          <w:szCs w:val="24"/>
        </w:rPr>
      </w:pPr>
      <w:r>
        <w:rPr>
          <w:rFonts w:ascii="Times New Roman" w:hAnsi="Times New Roman" w:cs="Times New Roman"/>
          <w:sz w:val="20"/>
          <w:szCs w:val="24"/>
        </w:rPr>
        <w:t xml:space="preserve">9. </w:t>
      </w:r>
      <w:r w:rsidR="00ED27AF" w:rsidRPr="00B00B2D">
        <w:rPr>
          <w:rFonts w:ascii="Times New Roman" w:hAnsi="Times New Roman" w:cs="Times New Roman"/>
          <w:sz w:val="20"/>
          <w:szCs w:val="24"/>
        </w:rPr>
        <w:t xml:space="preserve">Taylor, D.J. (1980) Tiamulin in the treatment and prophylaxis of experimental swine dysentery. </w:t>
      </w:r>
      <w:r w:rsidR="00ED27AF" w:rsidRPr="00B00B2D">
        <w:rPr>
          <w:rFonts w:ascii="Times New Roman" w:hAnsi="Times New Roman" w:cs="Times New Roman"/>
          <w:i/>
          <w:sz w:val="20"/>
          <w:szCs w:val="24"/>
        </w:rPr>
        <w:t>Veterinary Record</w:t>
      </w:r>
      <w:r w:rsidR="00ED27AF" w:rsidRPr="00B00B2D">
        <w:rPr>
          <w:rFonts w:ascii="Times New Roman" w:hAnsi="Times New Roman" w:cs="Times New Roman"/>
          <w:sz w:val="20"/>
          <w:szCs w:val="24"/>
        </w:rPr>
        <w:t>, 106, 526-528.</w:t>
      </w:r>
    </w:p>
    <w:p w:rsidR="00ED27AF" w:rsidRPr="00B00B2D" w:rsidRDefault="00ED27AF" w:rsidP="00BC3866">
      <w:pPr>
        <w:rPr>
          <w:rFonts w:ascii="Times New Roman" w:hAnsi="Times New Roman" w:cs="Times New Roman"/>
          <w:sz w:val="20"/>
          <w:szCs w:val="24"/>
        </w:rPr>
      </w:pPr>
    </w:p>
    <w:p w:rsidR="00ED27AF" w:rsidRPr="00B00B2D" w:rsidRDefault="00CF5DB0" w:rsidP="00BC3866">
      <w:pPr>
        <w:rPr>
          <w:rFonts w:ascii="Times New Roman" w:hAnsi="Times New Roman" w:cs="Times New Roman"/>
          <w:sz w:val="20"/>
          <w:szCs w:val="24"/>
        </w:rPr>
      </w:pPr>
      <w:r>
        <w:rPr>
          <w:rFonts w:ascii="Times New Roman" w:hAnsi="Times New Roman" w:cs="Times New Roman"/>
          <w:sz w:val="20"/>
          <w:szCs w:val="24"/>
        </w:rPr>
        <w:t xml:space="preserve">10. </w:t>
      </w:r>
      <w:r w:rsidR="00ED27AF" w:rsidRPr="00B00B2D">
        <w:rPr>
          <w:rFonts w:ascii="Times New Roman" w:hAnsi="Times New Roman" w:cs="Times New Roman"/>
          <w:sz w:val="20"/>
          <w:szCs w:val="24"/>
        </w:rPr>
        <w:t>Taylor, D.J. (1982) In feed medication with tiamulin in the treatment of experimental swine dysentery. Proceedings of the 7</w:t>
      </w:r>
      <w:r w:rsidR="00ED27AF" w:rsidRPr="00B00B2D">
        <w:rPr>
          <w:rFonts w:ascii="Times New Roman" w:hAnsi="Times New Roman" w:cs="Times New Roman"/>
          <w:sz w:val="20"/>
          <w:szCs w:val="24"/>
          <w:vertAlign w:val="superscript"/>
        </w:rPr>
        <w:t>th</w:t>
      </w:r>
      <w:r w:rsidR="00B00B2D">
        <w:rPr>
          <w:rFonts w:ascii="Times New Roman" w:hAnsi="Times New Roman" w:cs="Times New Roman"/>
          <w:sz w:val="20"/>
          <w:szCs w:val="24"/>
        </w:rPr>
        <w:t xml:space="preserve"> IPVS</w:t>
      </w:r>
      <w:r w:rsidR="00ED27AF" w:rsidRPr="00B00B2D">
        <w:rPr>
          <w:rFonts w:ascii="Times New Roman" w:hAnsi="Times New Roman" w:cs="Times New Roman"/>
          <w:sz w:val="20"/>
          <w:szCs w:val="24"/>
        </w:rPr>
        <w:t xml:space="preserve"> Congress, Mexico City, Mexico, p 47.</w:t>
      </w:r>
    </w:p>
    <w:p w:rsidR="00BC3866" w:rsidRPr="00B00B2D" w:rsidRDefault="00BC3866" w:rsidP="009D0BE7">
      <w:pPr>
        <w:rPr>
          <w:rFonts w:ascii="Times New Roman" w:hAnsi="Times New Roman" w:cs="Times New Roman"/>
          <w:sz w:val="18"/>
        </w:rPr>
      </w:pPr>
    </w:p>
    <w:p w:rsidR="00BC3866" w:rsidRPr="00B00B2D" w:rsidRDefault="00CF5DB0" w:rsidP="00BC3866">
      <w:pPr>
        <w:rPr>
          <w:rFonts w:ascii="Times New Roman" w:hAnsi="Times New Roman"/>
          <w:sz w:val="20"/>
          <w:szCs w:val="24"/>
        </w:rPr>
      </w:pPr>
      <w:r>
        <w:rPr>
          <w:rFonts w:ascii="Times New Roman" w:hAnsi="Times New Roman"/>
          <w:sz w:val="20"/>
          <w:szCs w:val="24"/>
        </w:rPr>
        <w:t xml:space="preserve">11. </w:t>
      </w:r>
      <w:r w:rsidR="00BC3866" w:rsidRPr="00B00B2D">
        <w:rPr>
          <w:rFonts w:ascii="Times New Roman" w:hAnsi="Times New Roman"/>
          <w:sz w:val="20"/>
          <w:szCs w:val="24"/>
        </w:rPr>
        <w:t>Walter, D., Knittel, J., Schwarz, K., Kroll, J. and Roof, M. (2001) Treatment and control of porcine proliferative enteropathy using different tiamul</w:t>
      </w:r>
      <w:r w:rsidR="00B00B2D">
        <w:rPr>
          <w:rFonts w:ascii="Times New Roman" w:hAnsi="Times New Roman"/>
          <w:sz w:val="20"/>
          <w:szCs w:val="24"/>
        </w:rPr>
        <w:t xml:space="preserve">in delivery methods. </w:t>
      </w:r>
      <w:r w:rsidR="00B00B2D" w:rsidRPr="00B00B2D">
        <w:rPr>
          <w:rFonts w:ascii="Times New Roman" w:hAnsi="Times New Roman"/>
          <w:i/>
          <w:sz w:val="20"/>
          <w:szCs w:val="24"/>
        </w:rPr>
        <w:t xml:space="preserve">J. </w:t>
      </w:r>
      <w:r w:rsidR="00BC3866" w:rsidRPr="00B00B2D">
        <w:rPr>
          <w:rFonts w:ascii="Times New Roman" w:hAnsi="Times New Roman"/>
          <w:i/>
          <w:sz w:val="20"/>
          <w:szCs w:val="24"/>
        </w:rPr>
        <w:t>Swine Health and Production</w:t>
      </w:r>
      <w:r w:rsidR="00BC3866" w:rsidRPr="00B00B2D">
        <w:rPr>
          <w:rFonts w:ascii="Times New Roman" w:hAnsi="Times New Roman"/>
          <w:sz w:val="20"/>
          <w:szCs w:val="24"/>
        </w:rPr>
        <w:t>, 9, 3, 109-115.</w:t>
      </w:r>
    </w:p>
    <w:p w:rsidR="00BC3866" w:rsidRPr="00B00B2D" w:rsidRDefault="00BC3866" w:rsidP="00BC3866">
      <w:pPr>
        <w:rPr>
          <w:rFonts w:ascii="Times New Roman" w:eastAsia="Calibri" w:hAnsi="Times New Roman" w:cs="Times New Roman"/>
          <w:sz w:val="20"/>
          <w:szCs w:val="24"/>
        </w:rPr>
      </w:pPr>
    </w:p>
    <w:p w:rsidR="00BC3866" w:rsidRPr="00B00B2D" w:rsidRDefault="00CF5DB0" w:rsidP="00BC3866">
      <w:pPr>
        <w:rPr>
          <w:rFonts w:ascii="Times New Roman" w:hAnsi="Times New Roman" w:cs="Times New Roman"/>
          <w:sz w:val="20"/>
          <w:szCs w:val="24"/>
        </w:rPr>
      </w:pPr>
      <w:r>
        <w:rPr>
          <w:rFonts w:ascii="Times New Roman" w:hAnsi="Times New Roman" w:cs="Times New Roman"/>
          <w:sz w:val="20"/>
          <w:szCs w:val="24"/>
        </w:rPr>
        <w:t xml:space="preserve">12. </w:t>
      </w:r>
      <w:r w:rsidR="00BC3866" w:rsidRPr="00B00B2D">
        <w:rPr>
          <w:rFonts w:ascii="Times New Roman" w:hAnsi="Times New Roman" w:cs="Times New Roman"/>
          <w:sz w:val="20"/>
          <w:szCs w:val="24"/>
        </w:rPr>
        <w:t xml:space="preserve">Wattanaphansak, S., Singer, R.S. and Gebhart, C.J. (2009) In vitro antimicrobial activity against 10 North American and European </w:t>
      </w:r>
      <w:r w:rsidR="00BC3866" w:rsidRPr="00B00B2D">
        <w:rPr>
          <w:rFonts w:ascii="Times New Roman" w:hAnsi="Times New Roman" w:cs="Times New Roman"/>
          <w:i/>
          <w:sz w:val="20"/>
          <w:szCs w:val="24"/>
        </w:rPr>
        <w:t>Lawsonia intracellularis</w:t>
      </w:r>
      <w:r w:rsidR="00BC3866" w:rsidRPr="00B00B2D">
        <w:rPr>
          <w:rFonts w:ascii="Times New Roman" w:hAnsi="Times New Roman" w:cs="Times New Roman"/>
          <w:sz w:val="20"/>
          <w:szCs w:val="24"/>
        </w:rPr>
        <w:t xml:space="preserve"> isolates. </w:t>
      </w:r>
      <w:r w:rsidR="00BC3866" w:rsidRPr="00B00B2D">
        <w:rPr>
          <w:rFonts w:ascii="Times New Roman" w:hAnsi="Times New Roman" w:cs="Times New Roman"/>
          <w:i/>
          <w:sz w:val="20"/>
          <w:szCs w:val="24"/>
        </w:rPr>
        <w:t>Veterinary Microbiology</w:t>
      </w:r>
      <w:r w:rsidR="00BC3866" w:rsidRPr="00B00B2D">
        <w:rPr>
          <w:rFonts w:ascii="Times New Roman" w:hAnsi="Times New Roman" w:cs="Times New Roman"/>
          <w:sz w:val="20"/>
          <w:szCs w:val="24"/>
        </w:rPr>
        <w:t>, 134, 305-310.</w:t>
      </w:r>
    </w:p>
    <w:p w:rsidR="00BC3866" w:rsidRDefault="00BC3866" w:rsidP="009D0BE7">
      <w:pPr>
        <w:rPr>
          <w:rFonts w:ascii="Times New Roman" w:hAnsi="Times New Roman" w:cs="Times New Roman"/>
          <w:sz w:val="20"/>
        </w:rPr>
      </w:pPr>
    </w:p>
    <w:p w:rsidR="00BF65E9" w:rsidRDefault="00BF65E9" w:rsidP="009D0BE7">
      <w:pPr>
        <w:rPr>
          <w:rFonts w:ascii="Times New Roman" w:hAnsi="Times New Roman" w:cs="Times New Roman"/>
          <w:sz w:val="20"/>
        </w:rPr>
      </w:pPr>
    </w:p>
    <w:p w:rsidR="00BF65E9" w:rsidRDefault="00BF65E9" w:rsidP="00BF65E9">
      <w:pPr>
        <w:jc w:val="center"/>
        <w:rPr>
          <w:rFonts w:ascii="Verdana" w:hAnsi="Verdana" w:cs="Arial"/>
          <w:color w:val="000000"/>
          <w:sz w:val="20"/>
          <w:szCs w:val="20"/>
        </w:rPr>
      </w:pPr>
      <w:r w:rsidRPr="00446360">
        <w:rPr>
          <w:rFonts w:ascii="Verdana" w:hAnsi="Verdana" w:cs="Arial"/>
          <w:color w:val="000000"/>
          <w:sz w:val="20"/>
          <w:szCs w:val="20"/>
        </w:rPr>
        <w:t>Cop</w:t>
      </w:r>
      <w:r>
        <w:rPr>
          <w:rFonts w:ascii="Verdana" w:hAnsi="Verdana" w:cs="Arial"/>
          <w:color w:val="000000"/>
          <w:sz w:val="20"/>
          <w:szCs w:val="20"/>
        </w:rPr>
        <w:t>yri</w:t>
      </w:r>
      <w:r>
        <w:rPr>
          <w:rFonts w:ascii="Verdana" w:hAnsi="Verdana" w:cs="Arial"/>
          <w:color w:val="000000"/>
          <w:sz w:val="20"/>
          <w:szCs w:val="20"/>
        </w:rPr>
        <w:t>ght © Octagon Services Ltd 2013</w:t>
      </w:r>
    </w:p>
    <w:p w:rsidR="00BF65E9" w:rsidRPr="00446360" w:rsidRDefault="00BF65E9" w:rsidP="00BF65E9">
      <w:pPr>
        <w:jc w:val="center"/>
        <w:rPr>
          <w:rFonts w:ascii="Verdana" w:hAnsi="Verdana" w:cs="Arial"/>
          <w:color w:val="000000"/>
          <w:sz w:val="20"/>
          <w:szCs w:val="20"/>
        </w:rPr>
      </w:pPr>
      <w:hyperlink r:id="rId11" w:history="1">
        <w:r w:rsidRPr="00BF65E9">
          <w:rPr>
            <w:rStyle w:val="Hyperlink"/>
            <w:rFonts w:ascii="Verdana" w:hAnsi="Verdana" w:cs="Arial"/>
            <w:sz w:val="20"/>
            <w:szCs w:val="20"/>
          </w:rPr>
          <w:t>www.octagon-services.co.uk</w:t>
        </w:r>
      </w:hyperlink>
      <w:bookmarkStart w:id="0" w:name="_GoBack"/>
      <w:bookmarkEnd w:id="0"/>
    </w:p>
    <w:p w:rsidR="00BF65E9" w:rsidRPr="004B52B1" w:rsidRDefault="00BF65E9" w:rsidP="009D0BE7">
      <w:pPr>
        <w:rPr>
          <w:rFonts w:ascii="Times New Roman" w:hAnsi="Times New Roman" w:cs="Times New Roman"/>
          <w:sz w:val="20"/>
        </w:rPr>
      </w:pPr>
    </w:p>
    <w:sectPr w:rsidR="00BF65E9" w:rsidRPr="004B52B1" w:rsidSect="00901F69">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2C62" w:rsidRDefault="00CF2C62" w:rsidP="00830EC3">
      <w:r>
        <w:separator/>
      </w:r>
    </w:p>
  </w:endnote>
  <w:endnote w:type="continuationSeparator" w:id="0">
    <w:p w:rsidR="00CF2C62" w:rsidRDefault="00CF2C62" w:rsidP="00830E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85194"/>
      <w:docPartObj>
        <w:docPartGallery w:val="Page Numbers (Bottom of Page)"/>
        <w:docPartUnique/>
      </w:docPartObj>
    </w:sdtPr>
    <w:sdtEndPr/>
    <w:sdtContent>
      <w:p w:rsidR="001E2F8D" w:rsidRDefault="00E9629D">
        <w:pPr>
          <w:pStyle w:val="Footer"/>
          <w:jc w:val="center"/>
        </w:pPr>
        <w:r>
          <w:fldChar w:fldCharType="begin"/>
        </w:r>
        <w:r>
          <w:instrText xml:space="preserve"> PAGE   \* MERGEFORMAT </w:instrText>
        </w:r>
        <w:r>
          <w:fldChar w:fldCharType="separate"/>
        </w:r>
        <w:r w:rsidR="00BF65E9">
          <w:rPr>
            <w:noProof/>
          </w:rPr>
          <w:t>5</w:t>
        </w:r>
        <w:r>
          <w:rPr>
            <w:noProof/>
          </w:rPr>
          <w:fldChar w:fldCharType="end"/>
        </w:r>
      </w:p>
    </w:sdtContent>
  </w:sdt>
  <w:p w:rsidR="001E2F8D" w:rsidRDefault="001E2F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2C62" w:rsidRDefault="00CF2C62" w:rsidP="00830EC3">
      <w:r>
        <w:separator/>
      </w:r>
    </w:p>
  </w:footnote>
  <w:footnote w:type="continuationSeparator" w:id="0">
    <w:p w:rsidR="00CF2C62" w:rsidRDefault="00CF2C62" w:rsidP="00830E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readOnly" w:enforcement="1" w:cryptProviderType="rsaFull" w:cryptAlgorithmClass="hash" w:cryptAlgorithmType="typeAny" w:cryptAlgorithmSid="4" w:cryptSpinCount="100000" w:hash="YYrKg5zFP8UsQ7CNahaIn8AvtUA=" w:salt="T2hyaCssaP82Ey35SPPgZ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BE7"/>
    <w:rsid w:val="00016F9E"/>
    <w:rsid w:val="00035F41"/>
    <w:rsid w:val="000D23C0"/>
    <w:rsid w:val="000E6473"/>
    <w:rsid w:val="0012594D"/>
    <w:rsid w:val="001368A8"/>
    <w:rsid w:val="00190D8D"/>
    <w:rsid w:val="001A55C5"/>
    <w:rsid w:val="001E2F8D"/>
    <w:rsid w:val="001F3304"/>
    <w:rsid w:val="002332C4"/>
    <w:rsid w:val="00284374"/>
    <w:rsid w:val="00376BD1"/>
    <w:rsid w:val="003B4EB2"/>
    <w:rsid w:val="003F7853"/>
    <w:rsid w:val="00432BA4"/>
    <w:rsid w:val="0049082F"/>
    <w:rsid w:val="004B52B1"/>
    <w:rsid w:val="004D31F0"/>
    <w:rsid w:val="00520B29"/>
    <w:rsid w:val="005755F8"/>
    <w:rsid w:val="005B692B"/>
    <w:rsid w:val="005D6C8D"/>
    <w:rsid w:val="00611DFE"/>
    <w:rsid w:val="00680E4B"/>
    <w:rsid w:val="00717F51"/>
    <w:rsid w:val="00732042"/>
    <w:rsid w:val="00741D61"/>
    <w:rsid w:val="00795376"/>
    <w:rsid w:val="00796FB8"/>
    <w:rsid w:val="007F12EB"/>
    <w:rsid w:val="00830EC3"/>
    <w:rsid w:val="00834267"/>
    <w:rsid w:val="00834512"/>
    <w:rsid w:val="00880CF0"/>
    <w:rsid w:val="008C1872"/>
    <w:rsid w:val="008C6A7B"/>
    <w:rsid w:val="00901F69"/>
    <w:rsid w:val="009676E4"/>
    <w:rsid w:val="009853A5"/>
    <w:rsid w:val="009C290F"/>
    <w:rsid w:val="009D0BE7"/>
    <w:rsid w:val="00A0326D"/>
    <w:rsid w:val="00B00B2D"/>
    <w:rsid w:val="00B60366"/>
    <w:rsid w:val="00B63B28"/>
    <w:rsid w:val="00BC3866"/>
    <w:rsid w:val="00BF65E9"/>
    <w:rsid w:val="00C442D5"/>
    <w:rsid w:val="00C442FE"/>
    <w:rsid w:val="00C6511D"/>
    <w:rsid w:val="00C92DD5"/>
    <w:rsid w:val="00CF2C62"/>
    <w:rsid w:val="00CF5DB0"/>
    <w:rsid w:val="00D12B65"/>
    <w:rsid w:val="00E4328C"/>
    <w:rsid w:val="00E9629D"/>
    <w:rsid w:val="00ED1D8B"/>
    <w:rsid w:val="00ED27AF"/>
    <w:rsid w:val="00FE4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F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E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7853"/>
    <w:rPr>
      <w:rFonts w:ascii="Tahoma" w:hAnsi="Tahoma" w:cs="Tahoma"/>
      <w:sz w:val="16"/>
      <w:szCs w:val="16"/>
    </w:rPr>
  </w:style>
  <w:style w:type="character" w:customStyle="1" w:styleId="BalloonTextChar">
    <w:name w:val="Balloon Text Char"/>
    <w:basedOn w:val="DefaultParagraphFont"/>
    <w:link w:val="BalloonText"/>
    <w:uiPriority w:val="99"/>
    <w:semiHidden/>
    <w:rsid w:val="003F7853"/>
    <w:rPr>
      <w:rFonts w:ascii="Tahoma" w:hAnsi="Tahoma" w:cs="Tahoma"/>
      <w:sz w:val="16"/>
      <w:szCs w:val="16"/>
    </w:rPr>
  </w:style>
  <w:style w:type="paragraph" w:styleId="Header">
    <w:name w:val="header"/>
    <w:basedOn w:val="Normal"/>
    <w:link w:val="HeaderChar"/>
    <w:uiPriority w:val="99"/>
    <w:semiHidden/>
    <w:unhideWhenUsed/>
    <w:rsid w:val="00830EC3"/>
    <w:pPr>
      <w:tabs>
        <w:tab w:val="center" w:pos="4513"/>
        <w:tab w:val="right" w:pos="9026"/>
      </w:tabs>
    </w:pPr>
  </w:style>
  <w:style w:type="character" w:customStyle="1" w:styleId="HeaderChar">
    <w:name w:val="Header Char"/>
    <w:basedOn w:val="DefaultParagraphFont"/>
    <w:link w:val="Header"/>
    <w:uiPriority w:val="99"/>
    <w:semiHidden/>
    <w:rsid w:val="00830EC3"/>
  </w:style>
  <w:style w:type="paragraph" w:styleId="Footer">
    <w:name w:val="footer"/>
    <w:basedOn w:val="Normal"/>
    <w:link w:val="FooterChar"/>
    <w:uiPriority w:val="99"/>
    <w:unhideWhenUsed/>
    <w:rsid w:val="00830EC3"/>
    <w:pPr>
      <w:tabs>
        <w:tab w:val="center" w:pos="4513"/>
        <w:tab w:val="right" w:pos="9026"/>
      </w:tabs>
    </w:pPr>
  </w:style>
  <w:style w:type="character" w:customStyle="1" w:styleId="FooterChar">
    <w:name w:val="Footer Char"/>
    <w:basedOn w:val="DefaultParagraphFont"/>
    <w:link w:val="Footer"/>
    <w:uiPriority w:val="99"/>
    <w:rsid w:val="00830EC3"/>
  </w:style>
  <w:style w:type="paragraph" w:customStyle="1" w:styleId="Text">
    <w:name w:val="Text"/>
    <w:basedOn w:val="Normal"/>
    <w:link w:val="TextChar"/>
    <w:rsid w:val="00BC3866"/>
    <w:pPr>
      <w:spacing w:before="120"/>
      <w:jc w:val="both"/>
    </w:pPr>
    <w:rPr>
      <w:rFonts w:ascii="Arial" w:eastAsia="Times New Roman" w:hAnsi="Arial" w:cs="Times New Roman"/>
      <w:szCs w:val="20"/>
      <w:lang w:val="en-US"/>
    </w:rPr>
  </w:style>
  <w:style w:type="character" w:customStyle="1" w:styleId="TextChar">
    <w:name w:val="Text Char"/>
    <w:basedOn w:val="DefaultParagraphFont"/>
    <w:link w:val="Text"/>
    <w:rsid w:val="00BC3866"/>
    <w:rPr>
      <w:rFonts w:ascii="Arial" w:eastAsia="Times New Roman" w:hAnsi="Arial" w:cs="Times New Roman"/>
      <w:szCs w:val="20"/>
      <w:lang w:val="en-US"/>
    </w:rPr>
  </w:style>
  <w:style w:type="character" w:styleId="PageNumber">
    <w:name w:val="page number"/>
    <w:basedOn w:val="DefaultParagraphFont"/>
    <w:rsid w:val="00BC3866"/>
  </w:style>
  <w:style w:type="paragraph" w:customStyle="1" w:styleId="Line1">
    <w:name w:val="Line 1"/>
    <w:basedOn w:val="Normal"/>
    <w:next w:val="Normal"/>
    <w:rsid w:val="00BC3866"/>
    <w:pPr>
      <w:spacing w:before="160" w:after="20"/>
      <w:jc w:val="both"/>
    </w:pPr>
    <w:rPr>
      <w:rFonts w:ascii="Arial" w:eastAsia="Times New Roman" w:hAnsi="Arial" w:cs="Times New Roman"/>
      <w:b/>
    </w:rPr>
  </w:style>
  <w:style w:type="character" w:styleId="CommentReference">
    <w:name w:val="annotation reference"/>
    <w:basedOn w:val="DefaultParagraphFont"/>
    <w:uiPriority w:val="99"/>
    <w:semiHidden/>
    <w:unhideWhenUsed/>
    <w:rsid w:val="001E2F8D"/>
    <w:rPr>
      <w:sz w:val="16"/>
      <w:szCs w:val="16"/>
    </w:rPr>
  </w:style>
  <w:style w:type="paragraph" w:styleId="CommentText">
    <w:name w:val="annotation text"/>
    <w:basedOn w:val="Normal"/>
    <w:link w:val="CommentTextChar"/>
    <w:uiPriority w:val="99"/>
    <w:semiHidden/>
    <w:unhideWhenUsed/>
    <w:rsid w:val="001E2F8D"/>
    <w:rPr>
      <w:sz w:val="20"/>
      <w:szCs w:val="20"/>
    </w:rPr>
  </w:style>
  <w:style w:type="character" w:customStyle="1" w:styleId="CommentTextChar">
    <w:name w:val="Comment Text Char"/>
    <w:basedOn w:val="DefaultParagraphFont"/>
    <w:link w:val="CommentText"/>
    <w:uiPriority w:val="99"/>
    <w:semiHidden/>
    <w:rsid w:val="001E2F8D"/>
    <w:rPr>
      <w:sz w:val="20"/>
      <w:szCs w:val="20"/>
    </w:rPr>
  </w:style>
  <w:style w:type="paragraph" w:styleId="CommentSubject">
    <w:name w:val="annotation subject"/>
    <w:basedOn w:val="CommentText"/>
    <w:next w:val="CommentText"/>
    <w:link w:val="CommentSubjectChar"/>
    <w:uiPriority w:val="99"/>
    <w:semiHidden/>
    <w:unhideWhenUsed/>
    <w:rsid w:val="001E2F8D"/>
    <w:rPr>
      <w:b/>
      <w:bCs/>
    </w:rPr>
  </w:style>
  <w:style w:type="character" w:customStyle="1" w:styleId="CommentSubjectChar">
    <w:name w:val="Comment Subject Char"/>
    <w:basedOn w:val="CommentTextChar"/>
    <w:link w:val="CommentSubject"/>
    <w:uiPriority w:val="99"/>
    <w:semiHidden/>
    <w:rsid w:val="001E2F8D"/>
    <w:rPr>
      <w:b/>
      <w:bCs/>
      <w:sz w:val="20"/>
      <w:szCs w:val="20"/>
    </w:rPr>
  </w:style>
  <w:style w:type="character" w:styleId="Hyperlink">
    <w:name w:val="Hyperlink"/>
    <w:basedOn w:val="DefaultParagraphFont"/>
    <w:uiPriority w:val="99"/>
    <w:unhideWhenUsed/>
    <w:rsid w:val="00BF65E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1F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4E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F7853"/>
    <w:rPr>
      <w:rFonts w:ascii="Tahoma" w:hAnsi="Tahoma" w:cs="Tahoma"/>
      <w:sz w:val="16"/>
      <w:szCs w:val="16"/>
    </w:rPr>
  </w:style>
  <w:style w:type="character" w:customStyle="1" w:styleId="BalloonTextChar">
    <w:name w:val="Balloon Text Char"/>
    <w:basedOn w:val="DefaultParagraphFont"/>
    <w:link w:val="BalloonText"/>
    <w:uiPriority w:val="99"/>
    <w:semiHidden/>
    <w:rsid w:val="003F7853"/>
    <w:rPr>
      <w:rFonts w:ascii="Tahoma" w:hAnsi="Tahoma" w:cs="Tahoma"/>
      <w:sz w:val="16"/>
      <w:szCs w:val="16"/>
    </w:rPr>
  </w:style>
  <w:style w:type="paragraph" w:styleId="Header">
    <w:name w:val="header"/>
    <w:basedOn w:val="Normal"/>
    <w:link w:val="HeaderChar"/>
    <w:uiPriority w:val="99"/>
    <w:semiHidden/>
    <w:unhideWhenUsed/>
    <w:rsid w:val="00830EC3"/>
    <w:pPr>
      <w:tabs>
        <w:tab w:val="center" w:pos="4513"/>
        <w:tab w:val="right" w:pos="9026"/>
      </w:tabs>
    </w:pPr>
  </w:style>
  <w:style w:type="character" w:customStyle="1" w:styleId="HeaderChar">
    <w:name w:val="Header Char"/>
    <w:basedOn w:val="DefaultParagraphFont"/>
    <w:link w:val="Header"/>
    <w:uiPriority w:val="99"/>
    <w:semiHidden/>
    <w:rsid w:val="00830EC3"/>
  </w:style>
  <w:style w:type="paragraph" w:styleId="Footer">
    <w:name w:val="footer"/>
    <w:basedOn w:val="Normal"/>
    <w:link w:val="FooterChar"/>
    <w:uiPriority w:val="99"/>
    <w:unhideWhenUsed/>
    <w:rsid w:val="00830EC3"/>
    <w:pPr>
      <w:tabs>
        <w:tab w:val="center" w:pos="4513"/>
        <w:tab w:val="right" w:pos="9026"/>
      </w:tabs>
    </w:pPr>
  </w:style>
  <w:style w:type="character" w:customStyle="1" w:styleId="FooterChar">
    <w:name w:val="Footer Char"/>
    <w:basedOn w:val="DefaultParagraphFont"/>
    <w:link w:val="Footer"/>
    <w:uiPriority w:val="99"/>
    <w:rsid w:val="00830EC3"/>
  </w:style>
  <w:style w:type="paragraph" w:customStyle="1" w:styleId="Text">
    <w:name w:val="Text"/>
    <w:basedOn w:val="Normal"/>
    <w:link w:val="TextChar"/>
    <w:rsid w:val="00BC3866"/>
    <w:pPr>
      <w:spacing w:before="120"/>
      <w:jc w:val="both"/>
    </w:pPr>
    <w:rPr>
      <w:rFonts w:ascii="Arial" w:eastAsia="Times New Roman" w:hAnsi="Arial" w:cs="Times New Roman"/>
      <w:szCs w:val="20"/>
      <w:lang w:val="en-US"/>
    </w:rPr>
  </w:style>
  <w:style w:type="character" w:customStyle="1" w:styleId="TextChar">
    <w:name w:val="Text Char"/>
    <w:basedOn w:val="DefaultParagraphFont"/>
    <w:link w:val="Text"/>
    <w:rsid w:val="00BC3866"/>
    <w:rPr>
      <w:rFonts w:ascii="Arial" w:eastAsia="Times New Roman" w:hAnsi="Arial" w:cs="Times New Roman"/>
      <w:szCs w:val="20"/>
      <w:lang w:val="en-US"/>
    </w:rPr>
  </w:style>
  <w:style w:type="character" w:styleId="PageNumber">
    <w:name w:val="page number"/>
    <w:basedOn w:val="DefaultParagraphFont"/>
    <w:rsid w:val="00BC3866"/>
  </w:style>
  <w:style w:type="paragraph" w:customStyle="1" w:styleId="Line1">
    <w:name w:val="Line 1"/>
    <w:basedOn w:val="Normal"/>
    <w:next w:val="Normal"/>
    <w:rsid w:val="00BC3866"/>
    <w:pPr>
      <w:spacing w:before="160" w:after="20"/>
      <w:jc w:val="both"/>
    </w:pPr>
    <w:rPr>
      <w:rFonts w:ascii="Arial" w:eastAsia="Times New Roman" w:hAnsi="Arial" w:cs="Times New Roman"/>
      <w:b/>
    </w:rPr>
  </w:style>
  <w:style w:type="character" w:styleId="CommentReference">
    <w:name w:val="annotation reference"/>
    <w:basedOn w:val="DefaultParagraphFont"/>
    <w:uiPriority w:val="99"/>
    <w:semiHidden/>
    <w:unhideWhenUsed/>
    <w:rsid w:val="001E2F8D"/>
    <w:rPr>
      <w:sz w:val="16"/>
      <w:szCs w:val="16"/>
    </w:rPr>
  </w:style>
  <w:style w:type="paragraph" w:styleId="CommentText">
    <w:name w:val="annotation text"/>
    <w:basedOn w:val="Normal"/>
    <w:link w:val="CommentTextChar"/>
    <w:uiPriority w:val="99"/>
    <w:semiHidden/>
    <w:unhideWhenUsed/>
    <w:rsid w:val="001E2F8D"/>
    <w:rPr>
      <w:sz w:val="20"/>
      <w:szCs w:val="20"/>
    </w:rPr>
  </w:style>
  <w:style w:type="character" w:customStyle="1" w:styleId="CommentTextChar">
    <w:name w:val="Comment Text Char"/>
    <w:basedOn w:val="DefaultParagraphFont"/>
    <w:link w:val="CommentText"/>
    <w:uiPriority w:val="99"/>
    <w:semiHidden/>
    <w:rsid w:val="001E2F8D"/>
    <w:rPr>
      <w:sz w:val="20"/>
      <w:szCs w:val="20"/>
    </w:rPr>
  </w:style>
  <w:style w:type="paragraph" w:styleId="CommentSubject">
    <w:name w:val="annotation subject"/>
    <w:basedOn w:val="CommentText"/>
    <w:next w:val="CommentText"/>
    <w:link w:val="CommentSubjectChar"/>
    <w:uiPriority w:val="99"/>
    <w:semiHidden/>
    <w:unhideWhenUsed/>
    <w:rsid w:val="001E2F8D"/>
    <w:rPr>
      <w:b/>
      <w:bCs/>
    </w:rPr>
  </w:style>
  <w:style w:type="character" w:customStyle="1" w:styleId="CommentSubjectChar">
    <w:name w:val="Comment Subject Char"/>
    <w:basedOn w:val="CommentTextChar"/>
    <w:link w:val="CommentSubject"/>
    <w:uiPriority w:val="99"/>
    <w:semiHidden/>
    <w:rsid w:val="001E2F8D"/>
    <w:rPr>
      <w:b/>
      <w:bCs/>
      <w:sz w:val="20"/>
      <w:szCs w:val="20"/>
    </w:rPr>
  </w:style>
  <w:style w:type="character" w:styleId="Hyperlink">
    <w:name w:val="Hyperlink"/>
    <w:basedOn w:val="DefaultParagraphFont"/>
    <w:uiPriority w:val="99"/>
    <w:unhideWhenUsed/>
    <w:rsid w:val="00BF65E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octagon-services.co.uk" TargetMode="External"/><Relationship Id="rId5" Type="http://schemas.openxmlformats.org/officeDocument/2006/relationships/footnotes" Target="footnotes.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Book1"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Octagon\AASV%20March%202013\Book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Lawsonia!$D$6</c:f>
              <c:strCache>
                <c:ptCount val="1"/>
                <c:pt idx="0">
                  <c:v>Tiamulin </c:v>
                </c:pt>
              </c:strCache>
            </c:strRef>
          </c:tx>
          <c:spPr>
            <a:solidFill>
              <a:schemeClr val="tx1">
                <a:lumMod val="50000"/>
                <a:lumOff val="50000"/>
              </a:schemeClr>
            </a:solidFill>
          </c:spPr>
          <c:invertIfNegative val="0"/>
          <c:cat>
            <c:strRef>
              <c:f>Lawsonia!$E$5:$O$5</c:f>
              <c:strCache>
                <c:ptCount val="11"/>
                <c:pt idx="0">
                  <c:v>0.125</c:v>
                </c:pt>
                <c:pt idx="1">
                  <c:v>0.25</c:v>
                </c:pt>
                <c:pt idx="2">
                  <c:v>0.5</c:v>
                </c:pt>
                <c:pt idx="3">
                  <c:v>1</c:v>
                </c:pt>
                <c:pt idx="4">
                  <c:v>2</c:v>
                </c:pt>
                <c:pt idx="5">
                  <c:v>4</c:v>
                </c:pt>
                <c:pt idx="6">
                  <c:v>8</c:v>
                </c:pt>
                <c:pt idx="7">
                  <c:v>16</c:v>
                </c:pt>
                <c:pt idx="8">
                  <c:v>32</c:v>
                </c:pt>
                <c:pt idx="9">
                  <c:v>64</c:v>
                </c:pt>
                <c:pt idx="10">
                  <c:v>&gt;128</c:v>
                </c:pt>
              </c:strCache>
            </c:strRef>
          </c:cat>
          <c:val>
            <c:numRef>
              <c:f>Lawsonia!$E$6:$O$6</c:f>
              <c:numCache>
                <c:formatCode>General</c:formatCode>
                <c:ptCount val="11"/>
                <c:pt idx="0">
                  <c:v>19</c:v>
                </c:pt>
                <c:pt idx="2">
                  <c:v>1</c:v>
                </c:pt>
              </c:numCache>
            </c:numRef>
          </c:val>
        </c:ser>
        <c:ser>
          <c:idx val="1"/>
          <c:order val="1"/>
          <c:tx>
            <c:strRef>
              <c:f>Lawsonia!$D$7</c:f>
              <c:strCache>
                <c:ptCount val="1"/>
                <c:pt idx="0">
                  <c:v>Lincomycin</c:v>
                </c:pt>
              </c:strCache>
            </c:strRef>
          </c:tx>
          <c:spPr>
            <a:solidFill>
              <a:schemeClr val="tx1"/>
            </a:solidFill>
          </c:spPr>
          <c:invertIfNegative val="0"/>
          <c:cat>
            <c:strRef>
              <c:f>Lawsonia!$E$5:$O$5</c:f>
              <c:strCache>
                <c:ptCount val="11"/>
                <c:pt idx="0">
                  <c:v>0.125</c:v>
                </c:pt>
                <c:pt idx="1">
                  <c:v>0.25</c:v>
                </c:pt>
                <c:pt idx="2">
                  <c:v>0.5</c:v>
                </c:pt>
                <c:pt idx="3">
                  <c:v>1</c:v>
                </c:pt>
                <c:pt idx="4">
                  <c:v>2</c:v>
                </c:pt>
                <c:pt idx="5">
                  <c:v>4</c:v>
                </c:pt>
                <c:pt idx="6">
                  <c:v>8</c:v>
                </c:pt>
                <c:pt idx="7">
                  <c:v>16</c:v>
                </c:pt>
                <c:pt idx="8">
                  <c:v>32</c:v>
                </c:pt>
                <c:pt idx="9">
                  <c:v>64</c:v>
                </c:pt>
                <c:pt idx="10">
                  <c:v>&gt;128</c:v>
                </c:pt>
              </c:strCache>
            </c:strRef>
          </c:cat>
          <c:val>
            <c:numRef>
              <c:f>Lawsonia!$E$7:$O$7</c:f>
              <c:numCache>
                <c:formatCode>General</c:formatCode>
                <c:ptCount val="11"/>
                <c:pt idx="6">
                  <c:v>3</c:v>
                </c:pt>
                <c:pt idx="7">
                  <c:v>5</c:v>
                </c:pt>
                <c:pt idx="8">
                  <c:v>1</c:v>
                </c:pt>
                <c:pt idx="9">
                  <c:v>1</c:v>
                </c:pt>
                <c:pt idx="10">
                  <c:v>10</c:v>
                </c:pt>
              </c:numCache>
            </c:numRef>
          </c:val>
        </c:ser>
        <c:dLbls>
          <c:showLegendKey val="0"/>
          <c:showVal val="0"/>
          <c:showCatName val="0"/>
          <c:showSerName val="0"/>
          <c:showPercent val="0"/>
          <c:showBubbleSize val="0"/>
        </c:dLbls>
        <c:gapWidth val="150"/>
        <c:axId val="257949696"/>
        <c:axId val="257951616"/>
      </c:barChart>
      <c:catAx>
        <c:axId val="257949696"/>
        <c:scaling>
          <c:orientation val="minMax"/>
        </c:scaling>
        <c:delete val="0"/>
        <c:axPos val="b"/>
        <c:title>
          <c:tx>
            <c:rich>
              <a:bodyPr/>
              <a:lstStyle/>
              <a:p>
                <a:pPr>
                  <a:defRPr/>
                </a:pPr>
                <a:r>
                  <a:rPr lang="en-US"/>
                  <a:t>iMICs (µg/ml)</a:t>
                </a:r>
              </a:p>
            </c:rich>
          </c:tx>
          <c:overlay val="0"/>
        </c:title>
        <c:majorTickMark val="out"/>
        <c:minorTickMark val="none"/>
        <c:tickLblPos val="nextTo"/>
        <c:crossAx val="257951616"/>
        <c:crosses val="autoZero"/>
        <c:auto val="1"/>
        <c:lblAlgn val="ctr"/>
        <c:lblOffset val="100"/>
        <c:noMultiLvlLbl val="0"/>
      </c:catAx>
      <c:valAx>
        <c:axId val="257951616"/>
        <c:scaling>
          <c:orientation val="minMax"/>
        </c:scaling>
        <c:delete val="0"/>
        <c:axPos val="l"/>
        <c:majorGridlines/>
        <c:title>
          <c:tx>
            <c:rich>
              <a:bodyPr rot="-5400000" vert="horz"/>
              <a:lstStyle/>
              <a:p>
                <a:pPr>
                  <a:defRPr/>
                </a:pPr>
                <a:r>
                  <a:rPr lang="en-US"/>
                  <a:t>No of isolates (2 x 10 = 20)</a:t>
                </a:r>
              </a:p>
            </c:rich>
          </c:tx>
          <c:overlay val="0"/>
        </c:title>
        <c:numFmt formatCode="General" sourceLinked="1"/>
        <c:majorTickMark val="out"/>
        <c:minorTickMark val="none"/>
        <c:tickLblPos val="nextTo"/>
        <c:crossAx val="25794969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 hyo'!$E$7</c:f>
              <c:strCache>
                <c:ptCount val="1"/>
                <c:pt idx="0">
                  <c:v>Tiamulin</c:v>
                </c:pt>
              </c:strCache>
            </c:strRef>
          </c:tx>
          <c:spPr>
            <a:solidFill>
              <a:schemeClr val="tx1">
                <a:lumMod val="50000"/>
                <a:lumOff val="50000"/>
              </a:schemeClr>
            </a:solidFill>
          </c:spPr>
          <c:invertIfNegative val="0"/>
          <c:cat>
            <c:strRef>
              <c:f>'B hyo'!$D$8:$D$22</c:f>
              <c:strCache>
                <c:ptCount val="15"/>
                <c:pt idx="0">
                  <c:v>0.031</c:v>
                </c:pt>
                <c:pt idx="1">
                  <c:v>0.063</c:v>
                </c:pt>
                <c:pt idx="2">
                  <c:v>0.125</c:v>
                </c:pt>
                <c:pt idx="3">
                  <c:v>0.25</c:v>
                </c:pt>
                <c:pt idx="4">
                  <c:v>0.5</c:v>
                </c:pt>
                <c:pt idx="5">
                  <c:v>1</c:v>
                </c:pt>
                <c:pt idx="6">
                  <c:v>2</c:v>
                </c:pt>
                <c:pt idx="7">
                  <c:v>4</c:v>
                </c:pt>
                <c:pt idx="8">
                  <c:v>8</c:v>
                </c:pt>
                <c:pt idx="9">
                  <c:v>16</c:v>
                </c:pt>
                <c:pt idx="10">
                  <c:v>32</c:v>
                </c:pt>
                <c:pt idx="11">
                  <c:v>64</c:v>
                </c:pt>
                <c:pt idx="12">
                  <c:v>128</c:v>
                </c:pt>
                <c:pt idx="13">
                  <c:v>256</c:v>
                </c:pt>
                <c:pt idx="14">
                  <c:v>&gt;256</c:v>
                </c:pt>
              </c:strCache>
            </c:strRef>
          </c:cat>
          <c:val>
            <c:numRef>
              <c:f>'B hyo'!$E$8:$E$22</c:f>
              <c:numCache>
                <c:formatCode>General</c:formatCode>
                <c:ptCount val="15"/>
                <c:pt idx="0">
                  <c:v>31</c:v>
                </c:pt>
                <c:pt idx="1">
                  <c:v>16</c:v>
                </c:pt>
                <c:pt idx="2">
                  <c:v>29</c:v>
                </c:pt>
                <c:pt idx="3">
                  <c:v>12</c:v>
                </c:pt>
                <c:pt idx="4">
                  <c:v>2</c:v>
                </c:pt>
                <c:pt idx="5">
                  <c:v>8</c:v>
                </c:pt>
                <c:pt idx="6">
                  <c:v>2</c:v>
                </c:pt>
                <c:pt idx="7">
                  <c:v>0</c:v>
                </c:pt>
                <c:pt idx="8">
                  <c:v>0</c:v>
                </c:pt>
                <c:pt idx="9">
                  <c:v>0</c:v>
                </c:pt>
                <c:pt idx="10">
                  <c:v>0</c:v>
                </c:pt>
                <c:pt idx="11">
                  <c:v>0</c:v>
                </c:pt>
                <c:pt idx="12">
                  <c:v>0</c:v>
                </c:pt>
                <c:pt idx="13">
                  <c:v>0</c:v>
                </c:pt>
                <c:pt idx="14">
                  <c:v>0</c:v>
                </c:pt>
              </c:numCache>
            </c:numRef>
          </c:val>
        </c:ser>
        <c:ser>
          <c:idx val="1"/>
          <c:order val="1"/>
          <c:tx>
            <c:strRef>
              <c:f>'B hyo'!$F$7</c:f>
              <c:strCache>
                <c:ptCount val="1"/>
                <c:pt idx="0">
                  <c:v>Tylosin</c:v>
                </c:pt>
              </c:strCache>
            </c:strRef>
          </c:tx>
          <c:spPr>
            <a:solidFill>
              <a:schemeClr val="tx1">
                <a:lumMod val="85000"/>
                <a:lumOff val="15000"/>
              </a:schemeClr>
            </a:solidFill>
          </c:spPr>
          <c:invertIfNegative val="0"/>
          <c:cat>
            <c:strRef>
              <c:f>'B hyo'!$D$8:$D$22</c:f>
              <c:strCache>
                <c:ptCount val="15"/>
                <c:pt idx="0">
                  <c:v>0.031</c:v>
                </c:pt>
                <c:pt idx="1">
                  <c:v>0.063</c:v>
                </c:pt>
                <c:pt idx="2">
                  <c:v>0.125</c:v>
                </c:pt>
                <c:pt idx="3">
                  <c:v>0.25</c:v>
                </c:pt>
                <c:pt idx="4">
                  <c:v>0.5</c:v>
                </c:pt>
                <c:pt idx="5">
                  <c:v>1</c:v>
                </c:pt>
                <c:pt idx="6">
                  <c:v>2</c:v>
                </c:pt>
                <c:pt idx="7">
                  <c:v>4</c:v>
                </c:pt>
                <c:pt idx="8">
                  <c:v>8</c:v>
                </c:pt>
                <c:pt idx="9">
                  <c:v>16</c:v>
                </c:pt>
                <c:pt idx="10">
                  <c:v>32</c:v>
                </c:pt>
                <c:pt idx="11">
                  <c:v>64</c:v>
                </c:pt>
                <c:pt idx="12">
                  <c:v>128</c:v>
                </c:pt>
                <c:pt idx="13">
                  <c:v>256</c:v>
                </c:pt>
                <c:pt idx="14">
                  <c:v>&gt;256</c:v>
                </c:pt>
              </c:strCache>
            </c:strRef>
          </c:cat>
          <c:val>
            <c:numRef>
              <c:f>'B hyo'!$F$8:$F$22</c:f>
              <c:numCache>
                <c:formatCode>General</c:formatCode>
                <c:ptCount val="15"/>
                <c:pt idx="0">
                  <c:v>0</c:v>
                </c:pt>
                <c:pt idx="1">
                  <c:v>0</c:v>
                </c:pt>
                <c:pt idx="2">
                  <c:v>0</c:v>
                </c:pt>
                <c:pt idx="3">
                  <c:v>0</c:v>
                </c:pt>
                <c:pt idx="4">
                  <c:v>0</c:v>
                </c:pt>
                <c:pt idx="5">
                  <c:v>0</c:v>
                </c:pt>
                <c:pt idx="6">
                  <c:v>4</c:v>
                </c:pt>
                <c:pt idx="7">
                  <c:v>6</c:v>
                </c:pt>
                <c:pt idx="8">
                  <c:v>28</c:v>
                </c:pt>
                <c:pt idx="9">
                  <c:v>2</c:v>
                </c:pt>
                <c:pt idx="10">
                  <c:v>0</c:v>
                </c:pt>
                <c:pt idx="11">
                  <c:v>0</c:v>
                </c:pt>
                <c:pt idx="12">
                  <c:v>0</c:v>
                </c:pt>
                <c:pt idx="13">
                  <c:v>3</c:v>
                </c:pt>
                <c:pt idx="14">
                  <c:v>57</c:v>
                </c:pt>
              </c:numCache>
            </c:numRef>
          </c:val>
        </c:ser>
        <c:dLbls>
          <c:showLegendKey val="0"/>
          <c:showVal val="0"/>
          <c:showCatName val="0"/>
          <c:showSerName val="0"/>
          <c:showPercent val="0"/>
          <c:showBubbleSize val="0"/>
        </c:dLbls>
        <c:gapWidth val="150"/>
        <c:axId val="257965440"/>
        <c:axId val="257967616"/>
      </c:barChart>
      <c:catAx>
        <c:axId val="257965440"/>
        <c:scaling>
          <c:orientation val="minMax"/>
        </c:scaling>
        <c:delete val="0"/>
        <c:axPos val="b"/>
        <c:title>
          <c:tx>
            <c:rich>
              <a:bodyPr/>
              <a:lstStyle/>
              <a:p>
                <a:pPr>
                  <a:defRPr/>
                </a:pPr>
                <a:r>
                  <a:rPr lang="en-US"/>
                  <a:t>MICs (µg/ml)</a:t>
                </a:r>
              </a:p>
            </c:rich>
          </c:tx>
          <c:overlay val="0"/>
        </c:title>
        <c:majorTickMark val="out"/>
        <c:minorTickMark val="none"/>
        <c:tickLblPos val="nextTo"/>
        <c:crossAx val="257967616"/>
        <c:crosses val="autoZero"/>
        <c:auto val="1"/>
        <c:lblAlgn val="ctr"/>
        <c:lblOffset val="100"/>
        <c:noMultiLvlLbl val="0"/>
      </c:catAx>
      <c:valAx>
        <c:axId val="257967616"/>
        <c:scaling>
          <c:orientation val="minMax"/>
        </c:scaling>
        <c:delete val="0"/>
        <c:axPos val="l"/>
        <c:majorGridlines/>
        <c:title>
          <c:tx>
            <c:rich>
              <a:bodyPr rot="-5400000" vert="horz"/>
              <a:lstStyle/>
              <a:p>
                <a:pPr>
                  <a:defRPr/>
                </a:pPr>
                <a:r>
                  <a:rPr lang="en-US"/>
                  <a:t>Isolates (%)</a:t>
                </a:r>
              </a:p>
            </c:rich>
          </c:tx>
          <c:overlay val="0"/>
        </c:title>
        <c:numFmt formatCode="General" sourceLinked="1"/>
        <c:majorTickMark val="out"/>
        <c:minorTickMark val="none"/>
        <c:tickLblPos val="nextTo"/>
        <c:crossAx val="25796544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Lawsonia!$D$35</c:f>
              <c:strCache>
                <c:ptCount val="1"/>
                <c:pt idx="0">
                  <c:v>Tiamulin </c:v>
                </c:pt>
              </c:strCache>
            </c:strRef>
          </c:tx>
          <c:spPr>
            <a:solidFill>
              <a:schemeClr val="tx1">
                <a:lumMod val="65000"/>
                <a:lumOff val="35000"/>
              </a:schemeClr>
            </a:solidFill>
          </c:spPr>
          <c:invertIfNegative val="0"/>
          <c:cat>
            <c:numRef>
              <c:f>Lawsonia!$E$34:$J$34</c:f>
              <c:numCache>
                <c:formatCode>General</c:formatCode>
                <c:ptCount val="6"/>
                <c:pt idx="0">
                  <c:v>0.125</c:v>
                </c:pt>
                <c:pt idx="1">
                  <c:v>0.25</c:v>
                </c:pt>
                <c:pt idx="2">
                  <c:v>0.5</c:v>
                </c:pt>
                <c:pt idx="3">
                  <c:v>1</c:v>
                </c:pt>
                <c:pt idx="4">
                  <c:v>2</c:v>
                </c:pt>
                <c:pt idx="5">
                  <c:v>4</c:v>
                </c:pt>
              </c:numCache>
            </c:numRef>
          </c:cat>
          <c:val>
            <c:numRef>
              <c:f>Lawsonia!$E$35:$J$35</c:f>
              <c:numCache>
                <c:formatCode>General</c:formatCode>
                <c:ptCount val="6"/>
                <c:pt idx="0">
                  <c:v>19</c:v>
                </c:pt>
                <c:pt idx="2">
                  <c:v>1</c:v>
                </c:pt>
              </c:numCache>
            </c:numRef>
          </c:val>
        </c:ser>
        <c:dLbls>
          <c:showLegendKey val="0"/>
          <c:showVal val="0"/>
          <c:showCatName val="0"/>
          <c:showSerName val="0"/>
          <c:showPercent val="0"/>
          <c:showBubbleSize val="0"/>
        </c:dLbls>
        <c:gapWidth val="150"/>
        <c:axId val="257980672"/>
        <c:axId val="258011520"/>
      </c:barChart>
      <c:catAx>
        <c:axId val="257980672"/>
        <c:scaling>
          <c:orientation val="minMax"/>
        </c:scaling>
        <c:delete val="0"/>
        <c:axPos val="b"/>
        <c:title>
          <c:tx>
            <c:rich>
              <a:bodyPr/>
              <a:lstStyle/>
              <a:p>
                <a:pPr>
                  <a:defRPr/>
                </a:pPr>
                <a:r>
                  <a:rPr lang="en-US"/>
                  <a:t>iMICs (µg/ml)</a:t>
                </a:r>
              </a:p>
            </c:rich>
          </c:tx>
          <c:overlay val="0"/>
        </c:title>
        <c:numFmt formatCode="General" sourceLinked="1"/>
        <c:majorTickMark val="out"/>
        <c:minorTickMark val="none"/>
        <c:tickLblPos val="nextTo"/>
        <c:crossAx val="258011520"/>
        <c:crosses val="autoZero"/>
        <c:auto val="1"/>
        <c:lblAlgn val="ctr"/>
        <c:lblOffset val="100"/>
        <c:noMultiLvlLbl val="0"/>
      </c:catAx>
      <c:valAx>
        <c:axId val="258011520"/>
        <c:scaling>
          <c:orientation val="minMax"/>
        </c:scaling>
        <c:delete val="0"/>
        <c:axPos val="l"/>
        <c:majorGridlines/>
        <c:title>
          <c:tx>
            <c:rich>
              <a:bodyPr rot="-5400000" vert="horz"/>
              <a:lstStyle/>
              <a:p>
                <a:pPr>
                  <a:defRPr/>
                </a:pPr>
                <a:r>
                  <a:rPr lang="en-US"/>
                  <a:t>No of isolates (2 x 10 = 20)</a:t>
                </a:r>
              </a:p>
            </c:rich>
          </c:tx>
          <c:overlay val="0"/>
        </c:title>
        <c:numFmt formatCode="General" sourceLinked="1"/>
        <c:majorTickMark val="out"/>
        <c:minorTickMark val="none"/>
        <c:tickLblPos val="nextTo"/>
        <c:crossAx val="257980672"/>
        <c:crosses val="autoZero"/>
        <c:crossBetween val="between"/>
      </c:valAx>
    </c:plotArea>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'B hyo'!$E$58</c:f>
              <c:strCache>
                <c:ptCount val="1"/>
                <c:pt idx="0">
                  <c:v>Tiamulin sensitive</c:v>
                </c:pt>
              </c:strCache>
            </c:strRef>
          </c:tx>
          <c:spPr>
            <a:solidFill>
              <a:schemeClr val="tx1">
                <a:lumMod val="50000"/>
                <a:lumOff val="50000"/>
              </a:schemeClr>
            </a:solidFill>
          </c:spPr>
          <c:invertIfNegative val="0"/>
          <c:cat>
            <c:numRef>
              <c:f>'B hyo'!$D$59:$D$69</c:f>
              <c:numCache>
                <c:formatCode>General</c:formatCode>
                <c:ptCount val="11"/>
                <c:pt idx="0">
                  <c:v>3.1000000000000021E-2</c:v>
                </c:pt>
                <c:pt idx="1">
                  <c:v>6.3E-2</c:v>
                </c:pt>
                <c:pt idx="2">
                  <c:v>0.125</c:v>
                </c:pt>
                <c:pt idx="3">
                  <c:v>0.25</c:v>
                </c:pt>
                <c:pt idx="4">
                  <c:v>0.5</c:v>
                </c:pt>
                <c:pt idx="5">
                  <c:v>1</c:v>
                </c:pt>
                <c:pt idx="6">
                  <c:v>2</c:v>
                </c:pt>
                <c:pt idx="7">
                  <c:v>4</c:v>
                </c:pt>
                <c:pt idx="8">
                  <c:v>8</c:v>
                </c:pt>
                <c:pt idx="9">
                  <c:v>16</c:v>
                </c:pt>
                <c:pt idx="10">
                  <c:v>32</c:v>
                </c:pt>
              </c:numCache>
            </c:numRef>
          </c:cat>
          <c:val>
            <c:numRef>
              <c:f>'B hyo'!$E$59:$E$69</c:f>
              <c:numCache>
                <c:formatCode>General</c:formatCode>
                <c:ptCount val="11"/>
                <c:pt idx="0">
                  <c:v>31</c:v>
                </c:pt>
                <c:pt idx="1">
                  <c:v>16</c:v>
                </c:pt>
                <c:pt idx="2">
                  <c:v>29</c:v>
                </c:pt>
                <c:pt idx="3">
                  <c:v>12</c:v>
                </c:pt>
                <c:pt idx="4">
                  <c:v>2</c:v>
                </c:pt>
                <c:pt idx="5">
                  <c:v>8</c:v>
                </c:pt>
                <c:pt idx="6">
                  <c:v>2</c:v>
                </c:pt>
                <c:pt idx="7">
                  <c:v>0</c:v>
                </c:pt>
                <c:pt idx="8">
                  <c:v>0</c:v>
                </c:pt>
              </c:numCache>
            </c:numRef>
          </c:val>
        </c:ser>
        <c:ser>
          <c:idx val="1"/>
          <c:order val="1"/>
          <c:tx>
            <c:strRef>
              <c:f>'B hyo'!$F$58</c:f>
              <c:strCache>
                <c:ptCount val="1"/>
                <c:pt idx="0">
                  <c:v>Resistant isolates</c:v>
                </c:pt>
              </c:strCache>
            </c:strRef>
          </c:tx>
          <c:spPr>
            <a:solidFill>
              <a:schemeClr val="bg2">
                <a:lumMod val="10000"/>
              </a:schemeClr>
            </a:solidFill>
          </c:spPr>
          <c:invertIfNegative val="0"/>
          <c:cat>
            <c:numRef>
              <c:f>'B hyo'!$D$59:$D$69</c:f>
              <c:numCache>
                <c:formatCode>General</c:formatCode>
                <c:ptCount val="11"/>
                <c:pt idx="0">
                  <c:v>3.1000000000000021E-2</c:v>
                </c:pt>
                <c:pt idx="1">
                  <c:v>6.3E-2</c:v>
                </c:pt>
                <c:pt idx="2">
                  <c:v>0.125</c:v>
                </c:pt>
                <c:pt idx="3">
                  <c:v>0.25</c:v>
                </c:pt>
                <c:pt idx="4">
                  <c:v>0.5</c:v>
                </c:pt>
                <c:pt idx="5">
                  <c:v>1</c:v>
                </c:pt>
                <c:pt idx="6">
                  <c:v>2</c:v>
                </c:pt>
                <c:pt idx="7">
                  <c:v>4</c:v>
                </c:pt>
                <c:pt idx="8">
                  <c:v>8</c:v>
                </c:pt>
                <c:pt idx="9">
                  <c:v>16</c:v>
                </c:pt>
                <c:pt idx="10">
                  <c:v>32</c:v>
                </c:pt>
              </c:numCache>
            </c:numRef>
          </c:cat>
          <c:val>
            <c:numRef>
              <c:f>'B hyo'!$F$59:$F$69</c:f>
              <c:numCache>
                <c:formatCode>General</c:formatCode>
                <c:ptCount val="11"/>
                <c:pt idx="9">
                  <c:v>5</c:v>
                </c:pt>
                <c:pt idx="10">
                  <c:v>10</c:v>
                </c:pt>
              </c:numCache>
            </c:numRef>
          </c:val>
        </c:ser>
        <c:dLbls>
          <c:showLegendKey val="0"/>
          <c:showVal val="0"/>
          <c:showCatName val="0"/>
          <c:showSerName val="0"/>
          <c:showPercent val="0"/>
          <c:showBubbleSize val="0"/>
        </c:dLbls>
        <c:gapWidth val="150"/>
        <c:axId val="258030208"/>
        <c:axId val="258077440"/>
      </c:barChart>
      <c:catAx>
        <c:axId val="258030208"/>
        <c:scaling>
          <c:orientation val="minMax"/>
        </c:scaling>
        <c:delete val="0"/>
        <c:axPos val="b"/>
        <c:title>
          <c:tx>
            <c:rich>
              <a:bodyPr/>
              <a:lstStyle/>
              <a:p>
                <a:pPr>
                  <a:defRPr/>
                </a:pPr>
                <a:r>
                  <a:rPr lang="en-US"/>
                  <a:t>MICs (µg/ml)</a:t>
                </a:r>
              </a:p>
            </c:rich>
          </c:tx>
          <c:overlay val="0"/>
        </c:title>
        <c:numFmt formatCode="General" sourceLinked="1"/>
        <c:majorTickMark val="out"/>
        <c:minorTickMark val="none"/>
        <c:tickLblPos val="nextTo"/>
        <c:crossAx val="258077440"/>
        <c:crosses val="autoZero"/>
        <c:auto val="1"/>
        <c:lblAlgn val="ctr"/>
        <c:lblOffset val="100"/>
        <c:noMultiLvlLbl val="0"/>
      </c:catAx>
      <c:valAx>
        <c:axId val="258077440"/>
        <c:scaling>
          <c:orientation val="minMax"/>
        </c:scaling>
        <c:delete val="0"/>
        <c:axPos val="l"/>
        <c:majorGridlines/>
        <c:title>
          <c:tx>
            <c:rich>
              <a:bodyPr rot="-5400000" vert="horz"/>
              <a:lstStyle/>
              <a:p>
                <a:pPr>
                  <a:defRPr/>
                </a:pPr>
                <a:r>
                  <a:rPr lang="en-US"/>
                  <a:t>No of isolates</a:t>
                </a:r>
              </a:p>
            </c:rich>
          </c:tx>
          <c:overlay val="0"/>
        </c:title>
        <c:numFmt formatCode="General" sourceLinked="1"/>
        <c:majorTickMark val="out"/>
        <c:minorTickMark val="none"/>
        <c:tickLblPos val="nextTo"/>
        <c:crossAx val="258030208"/>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0.6797</cdr:x>
      <cdr:y>0.28494</cdr:y>
    </cdr:from>
    <cdr:to>
      <cdr:x>0.82595</cdr:x>
      <cdr:y>0.42457</cdr:y>
    </cdr:to>
    <cdr:sp macro="" textlink="">
      <cdr:nvSpPr>
        <cdr:cNvPr id="2" name="TextBox 1"/>
        <cdr:cNvSpPr txBox="1"/>
      </cdr:nvSpPr>
      <cdr:spPr>
        <a:xfrm xmlns:a="http://schemas.openxmlformats.org/drawingml/2006/main">
          <a:off x="3895725" y="952500"/>
          <a:ext cx="838199" cy="4667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Resistance pattern</a:t>
          </a:r>
        </a:p>
      </cdr:txBody>
    </cdr:sp>
  </cdr:relSizeAnchor>
  <cdr:relSizeAnchor xmlns:cdr="http://schemas.openxmlformats.org/drawingml/2006/chartDrawing">
    <cdr:from>
      <cdr:x>0.50687</cdr:x>
      <cdr:y>0.44451</cdr:y>
    </cdr:from>
    <cdr:to>
      <cdr:x>0.66142</cdr:x>
      <cdr:y>0.58128</cdr:y>
    </cdr:to>
    <cdr:sp macro="" textlink="">
      <cdr:nvSpPr>
        <cdr:cNvPr id="3" name="TextBox 2"/>
        <cdr:cNvSpPr txBox="1"/>
      </cdr:nvSpPr>
      <cdr:spPr>
        <a:xfrm xmlns:a="http://schemas.openxmlformats.org/drawingml/2006/main">
          <a:off x="2905124" y="1485900"/>
          <a:ext cx="885825" cy="457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Susceptible pattern</a:t>
          </a:r>
        </a:p>
      </cdr:txBody>
    </cdr:sp>
  </cdr:relSizeAnchor>
</c:userShapes>
</file>

<file path=word/drawings/drawing2.xml><?xml version="1.0" encoding="utf-8"?>
<c:userShapes xmlns:c="http://schemas.openxmlformats.org/drawingml/2006/chart">
  <cdr:relSizeAnchor xmlns:cdr="http://schemas.openxmlformats.org/drawingml/2006/chartDrawing">
    <cdr:from>
      <cdr:x>0.65477</cdr:x>
      <cdr:y>0.03571</cdr:y>
    </cdr:from>
    <cdr:to>
      <cdr:x>0.80767</cdr:x>
      <cdr:y>0.17598</cdr:y>
    </cdr:to>
    <cdr:sp macro="" textlink="">
      <cdr:nvSpPr>
        <cdr:cNvPr id="2" name="TextBox 1"/>
        <cdr:cNvSpPr txBox="1"/>
      </cdr:nvSpPr>
      <cdr:spPr>
        <a:xfrm xmlns:a="http://schemas.openxmlformats.org/drawingml/2006/main">
          <a:off x="3752849" y="133365"/>
          <a:ext cx="876301" cy="5238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Resistance pattern</a:t>
          </a:r>
        </a:p>
      </cdr:txBody>
    </cdr:sp>
  </cdr:relSizeAnchor>
  <cdr:relSizeAnchor xmlns:cdr="http://schemas.openxmlformats.org/drawingml/2006/chartDrawing">
    <cdr:from>
      <cdr:x>0.46366</cdr:x>
      <cdr:y>0.29075</cdr:y>
    </cdr:from>
    <cdr:to>
      <cdr:x>0.61821</cdr:x>
      <cdr:y>0.41572</cdr:y>
    </cdr:to>
    <cdr:sp macro="" textlink="">
      <cdr:nvSpPr>
        <cdr:cNvPr id="3" name="TextBox 2"/>
        <cdr:cNvSpPr txBox="1"/>
      </cdr:nvSpPr>
      <cdr:spPr>
        <a:xfrm xmlns:a="http://schemas.openxmlformats.org/drawingml/2006/main">
          <a:off x="2657474" y="1085849"/>
          <a:ext cx="885825" cy="46672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Susceptible pattern</a:t>
          </a:r>
        </a:p>
      </cdr:txBody>
    </cdr:sp>
  </cdr:relSizeAnchor>
</c:userShapes>
</file>

<file path=word/drawings/drawing3.xml><?xml version="1.0" encoding="utf-8"?>
<c:userShapes xmlns:c="http://schemas.openxmlformats.org/drawingml/2006/chart">
  <cdr:relSizeAnchor xmlns:cdr="http://schemas.openxmlformats.org/drawingml/2006/chartDrawing">
    <cdr:from>
      <cdr:x>0.32999</cdr:x>
      <cdr:y>0.51598</cdr:y>
    </cdr:from>
    <cdr:to>
      <cdr:x>0.32999</cdr:x>
      <cdr:y>0.83562</cdr:y>
    </cdr:to>
    <cdr:sp macro="" textlink="">
      <cdr:nvSpPr>
        <cdr:cNvPr id="3" name="Straight Arrow Connector 2"/>
        <cdr:cNvSpPr/>
      </cdr:nvSpPr>
      <cdr:spPr>
        <a:xfrm xmlns:a="http://schemas.openxmlformats.org/drawingml/2006/main">
          <a:off x="2190751" y="2152650"/>
          <a:ext cx="0" cy="133350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0.56385</cdr:x>
      <cdr:y>0.35845</cdr:y>
    </cdr:from>
    <cdr:to>
      <cdr:x>0.56385</cdr:x>
      <cdr:y>0.83562</cdr:y>
    </cdr:to>
    <cdr:sp macro="" textlink="">
      <cdr:nvSpPr>
        <cdr:cNvPr id="5" name="Straight Arrow Connector 4"/>
        <cdr:cNvSpPr/>
      </cdr:nvSpPr>
      <cdr:spPr>
        <a:xfrm xmlns:a="http://schemas.openxmlformats.org/drawingml/2006/main">
          <a:off x="3743326" y="1495425"/>
          <a:ext cx="0" cy="1990725"/>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0.80488</cdr:x>
      <cdr:y>0.19406</cdr:y>
    </cdr:from>
    <cdr:to>
      <cdr:x>0.80488</cdr:x>
      <cdr:y>0.82877</cdr:y>
    </cdr:to>
    <cdr:sp macro="" textlink="">
      <cdr:nvSpPr>
        <cdr:cNvPr id="7" name="Straight Arrow Connector 6"/>
        <cdr:cNvSpPr/>
      </cdr:nvSpPr>
      <cdr:spPr>
        <a:xfrm xmlns:a="http://schemas.openxmlformats.org/drawingml/2006/main">
          <a:off x="5343526" y="809625"/>
          <a:ext cx="0" cy="264795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0.24247</cdr:x>
      <cdr:y>0.37023</cdr:y>
    </cdr:from>
    <cdr:to>
      <cdr:x>0.47862</cdr:x>
      <cdr:y>0.51142</cdr:y>
    </cdr:to>
    <cdr:sp macro="" textlink="">
      <cdr:nvSpPr>
        <cdr:cNvPr id="8" name="TextBox 7"/>
        <cdr:cNvSpPr txBox="1"/>
      </cdr:nvSpPr>
      <cdr:spPr>
        <a:xfrm xmlns:a="http://schemas.openxmlformats.org/drawingml/2006/main">
          <a:off x="1389719" y="1333500"/>
          <a:ext cx="1353481" cy="50852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Tiamulin 38.5ppm</a:t>
          </a:r>
        </a:p>
        <a:p xmlns:a="http://schemas.openxmlformats.org/drawingml/2006/main">
          <a:r>
            <a:rPr lang="en-GB" sz="1100"/>
            <a:t>ICC</a:t>
          </a:r>
          <a:r>
            <a:rPr lang="en-GB" sz="1100" baseline="0"/>
            <a:t> = 0.29</a:t>
          </a:r>
          <a:r>
            <a:rPr lang="en-GB" sz="1100" baseline="0">
              <a:latin typeface="Calibri"/>
              <a:cs typeface="Calibri"/>
            </a:rPr>
            <a:t>µg/ml</a:t>
          </a:r>
          <a:endParaRPr lang="en-GB" sz="1100"/>
        </a:p>
      </cdr:txBody>
    </cdr:sp>
  </cdr:relSizeAnchor>
  <cdr:relSizeAnchor xmlns:cdr="http://schemas.openxmlformats.org/drawingml/2006/chartDrawing">
    <cdr:from>
      <cdr:x>0.45369</cdr:x>
      <cdr:y>0.2195</cdr:y>
    </cdr:from>
    <cdr:to>
      <cdr:x>0.67001</cdr:x>
      <cdr:y>0.35845</cdr:y>
    </cdr:to>
    <cdr:sp macro="" textlink="">
      <cdr:nvSpPr>
        <cdr:cNvPr id="9" name="TextBox 8"/>
        <cdr:cNvSpPr txBox="1"/>
      </cdr:nvSpPr>
      <cdr:spPr>
        <a:xfrm xmlns:a="http://schemas.openxmlformats.org/drawingml/2006/main">
          <a:off x="2600325" y="790576"/>
          <a:ext cx="1239844" cy="50048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Tiamulin 110ppm</a:t>
          </a:r>
        </a:p>
        <a:p xmlns:a="http://schemas.openxmlformats.org/drawingml/2006/main">
          <a:r>
            <a:rPr lang="en-GB" sz="1100"/>
            <a:t>ICC</a:t>
          </a:r>
          <a:r>
            <a:rPr lang="en-GB" sz="1100" baseline="0"/>
            <a:t> = 0.82</a:t>
          </a:r>
          <a:r>
            <a:rPr lang="en-GB" sz="1100" baseline="0">
              <a:latin typeface="Calibri"/>
              <a:cs typeface="Calibri"/>
            </a:rPr>
            <a:t>µg/ml</a:t>
          </a:r>
          <a:endParaRPr lang="en-GB" sz="1100"/>
        </a:p>
      </cdr:txBody>
    </cdr:sp>
  </cdr:relSizeAnchor>
  <cdr:relSizeAnchor xmlns:cdr="http://schemas.openxmlformats.org/drawingml/2006/chartDrawing">
    <cdr:from>
      <cdr:x>0.66807</cdr:x>
      <cdr:y>0.05818</cdr:y>
    </cdr:from>
    <cdr:to>
      <cdr:x>0.90674</cdr:x>
      <cdr:y>0.18721</cdr:y>
    </cdr:to>
    <cdr:sp macro="" textlink="">
      <cdr:nvSpPr>
        <cdr:cNvPr id="10" name="TextBox 9"/>
        <cdr:cNvSpPr txBox="1"/>
      </cdr:nvSpPr>
      <cdr:spPr>
        <a:xfrm xmlns:a="http://schemas.openxmlformats.org/drawingml/2006/main">
          <a:off x="3829050" y="209550"/>
          <a:ext cx="1367939" cy="46474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Tiamulin 220pppm</a:t>
          </a:r>
        </a:p>
        <a:p xmlns:a="http://schemas.openxmlformats.org/drawingml/2006/main">
          <a:r>
            <a:rPr lang="en-GB" sz="1100"/>
            <a:t>ICC =</a:t>
          </a:r>
          <a:r>
            <a:rPr lang="en-GB" sz="1100" baseline="0"/>
            <a:t> 2.33</a:t>
          </a:r>
          <a:r>
            <a:rPr lang="en-GB" sz="1100" baseline="0">
              <a:latin typeface="Calibri"/>
              <a:cs typeface="Calibri"/>
            </a:rPr>
            <a:t>µg/ml</a:t>
          </a:r>
          <a:endParaRPr lang="en-GB" sz="1100"/>
        </a:p>
      </cdr:txBody>
    </cdr:sp>
  </cdr:relSizeAnchor>
</c:userShapes>
</file>

<file path=word/drawings/drawing4.xml><?xml version="1.0" encoding="utf-8"?>
<c:userShapes xmlns:c="http://schemas.openxmlformats.org/drawingml/2006/chart">
  <cdr:relSizeAnchor xmlns:cdr="http://schemas.openxmlformats.org/drawingml/2006/chartDrawing">
    <cdr:from>
      <cdr:x>0.42479</cdr:x>
      <cdr:y>0.48005</cdr:y>
    </cdr:from>
    <cdr:to>
      <cdr:x>0.42479</cdr:x>
      <cdr:y>0.65418</cdr:y>
    </cdr:to>
    <cdr:sp macro="" textlink="">
      <cdr:nvSpPr>
        <cdr:cNvPr id="3" name="Straight Arrow Connector 2"/>
        <cdr:cNvSpPr/>
      </cdr:nvSpPr>
      <cdr:spPr>
        <a:xfrm xmlns:a="http://schemas.openxmlformats.org/drawingml/2006/main">
          <a:off x="2434677" y="1828194"/>
          <a:ext cx="0" cy="663153"/>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0.51574</cdr:x>
      <cdr:y>0.38806</cdr:y>
    </cdr:from>
    <cdr:to>
      <cdr:x>0.51574</cdr:x>
      <cdr:y>0.84577</cdr:y>
    </cdr:to>
    <cdr:sp macro="" textlink="">
      <cdr:nvSpPr>
        <cdr:cNvPr id="5" name="Straight Arrow Connector 4"/>
        <cdr:cNvSpPr/>
      </cdr:nvSpPr>
      <cdr:spPr>
        <a:xfrm xmlns:a="http://schemas.openxmlformats.org/drawingml/2006/main">
          <a:off x="2955954" y="1477878"/>
          <a:ext cx="0" cy="1743131"/>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0.61157</cdr:x>
      <cdr:y>0.2413</cdr:y>
    </cdr:from>
    <cdr:to>
      <cdr:x>0.61157</cdr:x>
      <cdr:y>0.84826</cdr:y>
    </cdr:to>
    <cdr:sp macro="" textlink="">
      <cdr:nvSpPr>
        <cdr:cNvPr id="7" name="Straight Arrow Connector 6"/>
        <cdr:cNvSpPr/>
      </cdr:nvSpPr>
      <cdr:spPr>
        <a:xfrm xmlns:a="http://schemas.openxmlformats.org/drawingml/2006/main">
          <a:off x="3524265" y="923937"/>
          <a:ext cx="0" cy="2324080"/>
        </a:xfrm>
        <a:prstGeom xmlns:a="http://schemas.openxmlformats.org/drawingml/2006/main" prst="straightConnector1">
          <a:avLst/>
        </a:prstGeom>
        <a:ln xmlns:a="http://schemas.openxmlformats.org/drawingml/2006/main">
          <a:tailEnd type="arrow"/>
        </a:ln>
      </cdr:spPr>
      <cdr:style>
        <a:lnRef xmlns:a="http://schemas.openxmlformats.org/drawingml/2006/main" idx="1">
          <a:schemeClr val="dk1"/>
        </a:lnRef>
        <a:fillRef xmlns:a="http://schemas.openxmlformats.org/drawingml/2006/main" idx="0">
          <a:schemeClr val="dk1"/>
        </a:fillRef>
        <a:effectRef xmlns:a="http://schemas.openxmlformats.org/drawingml/2006/main" idx="0">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en-US"/>
        </a:p>
      </cdr:txBody>
    </cdr:sp>
  </cdr:relSizeAnchor>
  <cdr:relSizeAnchor xmlns:cdr="http://schemas.openxmlformats.org/drawingml/2006/chartDrawing">
    <cdr:from>
      <cdr:x>0.26942</cdr:x>
      <cdr:y>0.38557</cdr:y>
    </cdr:from>
    <cdr:to>
      <cdr:x>0.49752</cdr:x>
      <cdr:y>0.54229</cdr:y>
    </cdr:to>
    <cdr:sp macro="" textlink="">
      <cdr:nvSpPr>
        <cdr:cNvPr id="8" name="TextBox 7"/>
        <cdr:cNvSpPr txBox="1"/>
      </cdr:nvSpPr>
      <cdr:spPr>
        <a:xfrm xmlns:a="http://schemas.openxmlformats.org/drawingml/2006/main">
          <a:off x="1552566" y="1476375"/>
          <a:ext cx="1314455" cy="60008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Tiamulin 38.5ppm</a:t>
          </a:r>
        </a:p>
        <a:p xmlns:a="http://schemas.openxmlformats.org/drawingml/2006/main">
          <a:r>
            <a:rPr lang="en-GB" sz="1100"/>
            <a:t>CCC = 0.99</a:t>
          </a:r>
          <a:r>
            <a:rPr lang="en-GB" sz="1100">
              <a:latin typeface="Calibri"/>
              <a:cs typeface="Calibri"/>
            </a:rPr>
            <a:t>µg/ml</a:t>
          </a:r>
          <a:endParaRPr lang="en-GB" sz="1100"/>
        </a:p>
      </cdr:txBody>
    </cdr:sp>
  </cdr:relSizeAnchor>
  <cdr:relSizeAnchor xmlns:cdr="http://schemas.openxmlformats.org/drawingml/2006/chartDrawing">
    <cdr:from>
      <cdr:x>0.36033</cdr:x>
      <cdr:y>0.26866</cdr:y>
    </cdr:from>
    <cdr:to>
      <cdr:x>0.59008</cdr:x>
      <cdr:y>0.41045</cdr:y>
    </cdr:to>
    <cdr:sp macro="" textlink="">
      <cdr:nvSpPr>
        <cdr:cNvPr id="9" name="TextBox 8"/>
        <cdr:cNvSpPr txBox="1"/>
      </cdr:nvSpPr>
      <cdr:spPr>
        <a:xfrm xmlns:a="http://schemas.openxmlformats.org/drawingml/2006/main">
          <a:off x="2076447" y="1028701"/>
          <a:ext cx="1323963" cy="54293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Tiamulin 110ppm</a:t>
          </a:r>
        </a:p>
        <a:p xmlns:a="http://schemas.openxmlformats.org/drawingml/2006/main">
          <a:r>
            <a:rPr lang="en-GB" sz="1100"/>
            <a:t>CCC = 2.84</a:t>
          </a:r>
          <a:r>
            <a:rPr lang="en-GB" sz="1100">
              <a:latin typeface="Calibri"/>
              <a:cs typeface="Calibri"/>
            </a:rPr>
            <a:t>µg/ml</a:t>
          </a:r>
          <a:endParaRPr lang="en-GB" sz="1100"/>
        </a:p>
      </cdr:txBody>
    </cdr:sp>
  </cdr:relSizeAnchor>
  <cdr:relSizeAnchor xmlns:cdr="http://schemas.openxmlformats.org/drawingml/2006/chartDrawing">
    <cdr:from>
      <cdr:x>0.49091</cdr:x>
      <cdr:y>0.14179</cdr:y>
    </cdr:from>
    <cdr:to>
      <cdr:x>0.74545</cdr:x>
      <cdr:y>0.28607</cdr:y>
    </cdr:to>
    <cdr:sp macro="" textlink="">
      <cdr:nvSpPr>
        <cdr:cNvPr id="10" name="TextBox 9"/>
        <cdr:cNvSpPr txBox="1"/>
      </cdr:nvSpPr>
      <cdr:spPr>
        <a:xfrm xmlns:a="http://schemas.openxmlformats.org/drawingml/2006/main">
          <a:off x="2828930" y="542925"/>
          <a:ext cx="1466819" cy="55245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n-GB" sz="1100"/>
            <a:t>Tiamulin 220ppm</a:t>
          </a:r>
        </a:p>
        <a:p xmlns:a="http://schemas.openxmlformats.org/drawingml/2006/main">
          <a:r>
            <a:rPr lang="en-GB" sz="1100"/>
            <a:t>CCC = 8.05</a:t>
          </a:r>
          <a:r>
            <a:rPr lang="en-GB" sz="1100">
              <a:latin typeface="Calibri"/>
              <a:cs typeface="Calibri"/>
            </a:rPr>
            <a:t>µg/ml</a:t>
          </a:r>
          <a:endParaRPr lang="en-GB" sz="1100"/>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6</Pages>
  <Words>1854</Words>
  <Characters>10569</Characters>
  <Application>Microsoft Office Word</Application>
  <DocSecurity>8</DocSecurity>
  <Lines>88</Lines>
  <Paragraphs>24</Paragraphs>
  <ScaleCrop>false</ScaleCrop>
  <HeadingPairs>
    <vt:vector size="2" baseType="variant">
      <vt:variant>
        <vt:lpstr>Title</vt:lpstr>
      </vt:variant>
      <vt:variant>
        <vt:i4>1</vt:i4>
      </vt:variant>
    </vt:vector>
  </HeadingPairs>
  <TitlesOfParts>
    <vt:vector size="1" baseType="lpstr">
      <vt:lpstr>Managing Lawsonia and Brachyspira infections using pharmacokinetic and pharmacodynamic principles</vt:lpstr>
    </vt:vector>
  </TitlesOfParts>
  <Company>Octagon Services Ltd UK</Company>
  <LinksUpToDate>false</LinksUpToDate>
  <CharactersWithSpaces>12399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Managing Lawsonia and Brachyspira infections using pharmacokinetic and pharmacodynamic principles</dc:title>
  <dc:subject>Treatment of Ileitis in Pigs and Swine</dc:subject>
  <dc:creator>David G S Burch BVetMed Dipl.ECPHM FRCVS;Veterinarian;Dr. J. Mark Hammer</dc:creator>
  <cp:keywords>Ileitis, porcine proliferative enteropathy,porcine, scientific, science, research, references, review, reviews, clinical, pharmaceutical, veterinary, product, products, United Kingdom, UK, Britain, British, EU, Europe, European Union, medicate, medication, feed, treat, treatment, antimicrobial, anti-microbials, antimicrobials, anti-microbials, antibiotic, antibiotics,  resistance, Swine, pig, pigs, weaners, finishers, weaner, finisher, grower, growers, weaning, nursery, farm, animal</cp:keywords>
  <dc:description>To make informed decisions on which antibiotic to use and which route and at what inclusion/dosage level, it is important for practitioners to be familiar with the basic pharmacokinetic (PK) information for a drug and be able to relate it to the pharmacodynamic (PD) information that is available. Frequently, the minimum inhibitory concentration (MIC) is determined for Brachyspira hyodysenteriae, the cause of swine dysentery, as part of the diagnostic work up, as the usual PD information and this can be correlated with the PK or concentrations of antibiotic found in the colon contents. Similarly, for Lawsonia intracellularis infections, the cause of porcine proliferative enteropathy (‘ileitis’), the ileum contents concentration is the major PK information but it is very difficult to grow L. intracellularis in cell cultures, so there is generally very limited intracellular MIC (iMIC) data available from field investigations.</dc:description>
  <cp:lastModifiedBy>Michael Meredith</cp:lastModifiedBy>
  <cp:revision>5</cp:revision>
  <cp:lastPrinted>2012-11-04T16:22:00Z</cp:lastPrinted>
  <dcterms:created xsi:type="dcterms:W3CDTF">2013-03-20T00:52:00Z</dcterms:created>
  <dcterms:modified xsi:type="dcterms:W3CDTF">2013-03-20T01:14:00Z</dcterms:modified>
  <cp:contentStatus/>
</cp:coreProperties>
</file>